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6" w:rsidRDefault="004F4EA6" w:rsidP="00F22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4EA6" w:rsidRDefault="004F4EA6" w:rsidP="00F22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EA6" w:rsidRDefault="004F4EA6" w:rsidP="00F22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EA6" w:rsidRDefault="004F4EA6" w:rsidP="00F22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EA6" w:rsidRDefault="004F4EA6" w:rsidP="00F22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EA6" w:rsidRDefault="004F4EA6" w:rsidP="00F22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69E" w:rsidRPr="002F2B89" w:rsidRDefault="00F221A3" w:rsidP="00F221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B89">
        <w:rPr>
          <w:rFonts w:ascii="Times New Roman" w:hAnsi="Times New Roman" w:cs="Times New Roman"/>
          <w:b/>
          <w:sz w:val="32"/>
          <w:szCs w:val="32"/>
        </w:rPr>
        <w:t>Функциональные возможности личного кабинета органа, осуществляющего контроль по части 5 статьи 99 Федерального закона № 44-ФЗ</w:t>
      </w:r>
    </w:p>
    <w:p w:rsidR="00AA269E" w:rsidRPr="002F2B89" w:rsidRDefault="00F221A3" w:rsidP="00AA26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B89">
        <w:rPr>
          <w:rFonts w:ascii="Times New Roman" w:hAnsi="Times New Roman" w:cs="Times New Roman"/>
          <w:b/>
          <w:sz w:val="32"/>
          <w:szCs w:val="32"/>
        </w:rPr>
        <w:t>Подсистем</w:t>
      </w:r>
      <w:r w:rsidR="00AA269E" w:rsidRPr="002F2B89">
        <w:rPr>
          <w:rFonts w:ascii="Times New Roman" w:hAnsi="Times New Roman" w:cs="Times New Roman"/>
          <w:b/>
          <w:sz w:val="32"/>
          <w:szCs w:val="32"/>
        </w:rPr>
        <w:t>а</w:t>
      </w:r>
      <w:r w:rsidRPr="002F2B89">
        <w:rPr>
          <w:rFonts w:ascii="Times New Roman" w:hAnsi="Times New Roman" w:cs="Times New Roman"/>
          <w:b/>
          <w:sz w:val="32"/>
          <w:szCs w:val="32"/>
        </w:rPr>
        <w:t xml:space="preserve"> управления закупками </w:t>
      </w:r>
    </w:p>
    <w:p w:rsidR="00F221A3" w:rsidRPr="00515D00" w:rsidRDefault="00F221A3" w:rsidP="00AA26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89">
        <w:rPr>
          <w:rFonts w:ascii="Times New Roman" w:hAnsi="Times New Roman" w:cs="Times New Roman"/>
          <w:b/>
          <w:sz w:val="32"/>
          <w:szCs w:val="32"/>
        </w:rPr>
        <w:t>государственной интегрированной информационной системы управления общественными финансами «Электронный бюджет»</w:t>
      </w:r>
      <w:r w:rsidRPr="00515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997" w:rsidRDefault="00A65997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Pr="001828CB" w:rsidRDefault="009F7242" w:rsidP="009F7242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1828CB">
        <w:rPr>
          <w:rFonts w:ascii="Arial" w:hAnsi="Arial" w:cs="Arial"/>
          <w:b/>
          <w:sz w:val="32"/>
          <w:szCs w:val="32"/>
        </w:rPr>
        <w:lastRenderedPageBreak/>
        <w:t>Содержание</w:t>
      </w:r>
    </w:p>
    <w:sdt>
      <w:sdtPr>
        <w:rPr>
          <w:rStyle w:val="ae"/>
          <w:rFonts w:asciiTheme="minorHAnsi" w:hAnsiTheme="minorHAnsi"/>
          <w:noProof/>
          <w:sz w:val="22"/>
        </w:rPr>
        <w:id w:val="-1271255109"/>
        <w:docPartObj>
          <w:docPartGallery w:val="Table of Contents"/>
          <w:docPartUnique/>
        </w:docPartObj>
      </w:sdtPr>
      <w:sdtEndPr>
        <w:rPr>
          <w:rStyle w:val="a0"/>
          <w:noProof w:val="0"/>
          <w:color w:val="auto"/>
          <w:sz w:val="28"/>
          <w:szCs w:val="28"/>
        </w:rPr>
      </w:sdtEndPr>
      <w:sdtContent>
        <w:p w:rsidR="009F7242" w:rsidRPr="00F8233B" w:rsidRDefault="009F7242" w:rsidP="00F8233B">
          <w:pPr>
            <w:pStyle w:val="12"/>
            <w:rPr>
              <w:rStyle w:val="ae"/>
              <w:sz w:val="28"/>
              <w:szCs w:val="28"/>
            </w:rPr>
          </w:pPr>
          <w:r w:rsidRPr="00D1633E">
            <w:rPr>
              <w:rStyle w:val="ae"/>
              <w:noProof/>
              <w:sz w:val="28"/>
              <w:szCs w:val="28"/>
            </w:rPr>
            <w:fldChar w:fldCharType="begin"/>
          </w:r>
          <w:r w:rsidRPr="00D1633E">
            <w:rPr>
              <w:rStyle w:val="ae"/>
              <w:noProof/>
              <w:sz w:val="28"/>
              <w:szCs w:val="28"/>
            </w:rPr>
            <w:instrText xml:space="preserve"> TOC \o "1-3" \h \z \u </w:instrText>
          </w:r>
          <w:r w:rsidRPr="00D1633E">
            <w:rPr>
              <w:rStyle w:val="ae"/>
              <w:noProof/>
              <w:sz w:val="28"/>
              <w:szCs w:val="28"/>
            </w:rPr>
            <w:fldChar w:fldCharType="separate"/>
          </w:r>
          <w:hyperlink w:anchor="_Toc460918899" w:history="1">
            <w:r w:rsidRPr="00F8233B">
              <w:rPr>
                <w:rStyle w:val="ae"/>
                <w:noProof/>
                <w:sz w:val="28"/>
                <w:szCs w:val="28"/>
              </w:rPr>
              <w:t>Список терминов и сокращений</w:t>
            </w:r>
            <w:r w:rsidRPr="00F8233B">
              <w:rPr>
                <w:rStyle w:val="ae"/>
                <w:webHidden/>
                <w:sz w:val="28"/>
                <w:szCs w:val="28"/>
              </w:rPr>
              <w:tab/>
            </w:r>
            <w:r w:rsidR="00805CF1" w:rsidRPr="00F8233B">
              <w:rPr>
                <w:rStyle w:val="ae"/>
                <w:webHidden/>
                <w:sz w:val="28"/>
                <w:szCs w:val="28"/>
              </w:rPr>
              <w:t>3</w:t>
            </w:r>
          </w:hyperlink>
        </w:p>
        <w:p w:rsidR="009F7242" w:rsidRPr="00F8233B" w:rsidRDefault="00172EBE" w:rsidP="00F8233B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60918900" w:history="1">
            <w:r w:rsidR="00805CF1" w:rsidRPr="00F8233B">
              <w:rPr>
                <w:rStyle w:val="ae"/>
                <w:noProof/>
                <w:sz w:val="28"/>
                <w:szCs w:val="28"/>
              </w:rPr>
              <w:t>Настройка связей между органом контроля и субъектам контроля</w:t>
            </w:r>
            <w:r w:rsidR="009F7242" w:rsidRPr="00F8233B">
              <w:rPr>
                <w:rStyle w:val="ae"/>
                <w:webHidden/>
                <w:sz w:val="28"/>
                <w:szCs w:val="28"/>
              </w:rPr>
              <w:tab/>
            </w:r>
            <w:r w:rsidR="008F2C03" w:rsidRPr="00F8233B">
              <w:rPr>
                <w:rStyle w:val="ae"/>
                <w:webHidden/>
                <w:sz w:val="28"/>
                <w:szCs w:val="28"/>
              </w:rPr>
              <w:t>6</w:t>
            </w:r>
          </w:hyperlink>
        </w:p>
        <w:p w:rsidR="009F7242" w:rsidRPr="00F8233B" w:rsidRDefault="00172EBE" w:rsidP="00F8233B">
          <w:pPr>
            <w:pStyle w:val="12"/>
            <w:rPr>
              <w:rStyle w:val="ae"/>
              <w:sz w:val="28"/>
              <w:szCs w:val="28"/>
            </w:rPr>
          </w:pPr>
          <w:hyperlink w:anchor="_Toc460918901" w:history="1">
            <w:r w:rsidR="005F7C1B" w:rsidRPr="00F8233B">
              <w:rPr>
                <w:rStyle w:val="ae"/>
                <w:noProof/>
                <w:sz w:val="28"/>
                <w:szCs w:val="28"/>
              </w:rPr>
              <w:t>Работа с объектами контроля</w:t>
            </w:r>
            <w:r w:rsidR="009F7242" w:rsidRPr="00F8233B">
              <w:rPr>
                <w:rStyle w:val="ae"/>
                <w:webHidden/>
                <w:sz w:val="28"/>
                <w:szCs w:val="28"/>
              </w:rPr>
              <w:tab/>
            </w:r>
            <w:r w:rsidR="008F2C03" w:rsidRPr="00F8233B">
              <w:rPr>
                <w:rStyle w:val="ae"/>
                <w:webHidden/>
                <w:sz w:val="28"/>
                <w:szCs w:val="28"/>
              </w:rPr>
              <w:t>9</w:t>
            </w:r>
          </w:hyperlink>
        </w:p>
        <w:p w:rsidR="009F7242" w:rsidRPr="00F8233B" w:rsidRDefault="00172EBE" w:rsidP="00F8233B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60918902" w:history="1">
            <w:r w:rsidR="008F2C03" w:rsidRPr="00F8233B">
              <w:rPr>
                <w:rStyle w:val="ae"/>
                <w:noProof/>
                <w:sz w:val="28"/>
                <w:szCs w:val="28"/>
              </w:rPr>
              <w:t>Формирование результатов контроля</w:t>
            </w:r>
            <w:r w:rsidR="009F7242" w:rsidRPr="00F8233B">
              <w:rPr>
                <w:rStyle w:val="ae"/>
                <w:noProof/>
                <w:sz w:val="28"/>
                <w:szCs w:val="28"/>
              </w:rPr>
              <w:t>.</w:t>
            </w:r>
            <w:r w:rsidR="009F7242" w:rsidRPr="00F8233B">
              <w:rPr>
                <w:noProof/>
                <w:webHidden/>
              </w:rPr>
              <w:tab/>
            </w:r>
            <w:r w:rsidR="008F2C03" w:rsidRPr="00F8233B">
              <w:rPr>
                <w:noProof/>
                <w:webHidden/>
              </w:rPr>
              <w:t>1</w:t>
            </w:r>
          </w:hyperlink>
          <w:r w:rsidR="00871C47">
            <w:rPr>
              <w:noProof/>
            </w:rPr>
            <w:t>1</w:t>
          </w:r>
        </w:p>
        <w:p w:rsidR="009F7242" w:rsidRPr="00D1633E" w:rsidRDefault="00172EBE" w:rsidP="00F8233B">
          <w:pPr>
            <w:pStyle w:val="12"/>
            <w:rPr>
              <w:rFonts w:asciiTheme="minorHAnsi" w:eastAsiaTheme="minorEastAsia" w:hAnsiTheme="minorHAnsi"/>
              <w:noProof/>
              <w:lang w:eastAsia="ru-RU"/>
            </w:rPr>
          </w:pPr>
          <w:hyperlink w:anchor="_Toc460918903" w:history="1">
            <w:r w:rsidR="008F15A0" w:rsidRPr="00F8233B">
              <w:rPr>
                <w:rStyle w:val="ae"/>
                <w:noProof/>
                <w:sz w:val="28"/>
                <w:szCs w:val="28"/>
              </w:rPr>
              <w:t>Особенности функциональных возможностей Личного кабинета для ТОФК</w:t>
            </w:r>
            <w:r w:rsidR="009F7242" w:rsidRPr="00F8233B">
              <w:rPr>
                <w:noProof/>
                <w:webHidden/>
              </w:rPr>
              <w:tab/>
            </w:r>
          </w:hyperlink>
          <w:r w:rsidR="00191E7F">
            <w:rPr>
              <w:noProof/>
              <w:webHidden/>
            </w:rPr>
            <w:t>1</w:t>
          </w:r>
          <w:r w:rsidR="002B648B">
            <w:rPr>
              <w:noProof/>
              <w:webHidden/>
            </w:rPr>
            <w:t>4</w:t>
          </w:r>
        </w:p>
        <w:p w:rsidR="004F4EA6" w:rsidRDefault="009F7242" w:rsidP="009F7242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D1633E">
            <w:rPr>
              <w:rStyle w:val="ae"/>
              <w:noProof/>
              <w:sz w:val="28"/>
              <w:szCs w:val="28"/>
            </w:rPr>
            <w:fldChar w:fldCharType="end"/>
          </w:r>
        </w:p>
      </w:sdtContent>
    </w:sdt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4EA6" w:rsidRDefault="004F4EA6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242" w:rsidRDefault="009F7242" w:rsidP="002D7A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CAD" w:rsidRPr="00C24A37" w:rsidRDefault="007B1CAD" w:rsidP="002D7A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A37">
        <w:rPr>
          <w:rFonts w:ascii="Times New Roman" w:hAnsi="Times New Roman" w:cs="Times New Roman"/>
          <w:sz w:val="28"/>
          <w:szCs w:val="28"/>
        </w:rPr>
        <w:lastRenderedPageBreak/>
        <w:t>Список принятых терминов и сокращений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627"/>
      </w:tblGrid>
      <w:tr w:rsidR="007B1CAD" w:rsidRPr="00C73C17" w:rsidTr="007B1CAD">
        <w:trPr>
          <w:trHeight w:val="312"/>
        </w:trPr>
        <w:tc>
          <w:tcPr>
            <w:tcW w:w="2943" w:type="dxa"/>
          </w:tcPr>
          <w:p w:rsidR="007B1CAD" w:rsidRPr="00C73C17" w:rsidRDefault="007B1CAD" w:rsidP="006452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Термин/сокращение</w:t>
            </w:r>
          </w:p>
        </w:tc>
        <w:tc>
          <w:tcPr>
            <w:tcW w:w="6627" w:type="dxa"/>
          </w:tcPr>
          <w:p w:rsidR="007B1CAD" w:rsidRPr="00C73C17" w:rsidRDefault="007B1CAD" w:rsidP="006452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64241C" w:rsidRPr="00C73C17" w:rsidTr="007B1CAD">
        <w:trPr>
          <w:trHeight w:val="896"/>
        </w:trPr>
        <w:tc>
          <w:tcPr>
            <w:tcW w:w="2943" w:type="dxa"/>
          </w:tcPr>
          <w:p w:rsidR="0064241C" w:rsidRPr="00C73C17" w:rsidRDefault="0064241C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органа контроля</w:t>
            </w:r>
          </w:p>
        </w:tc>
        <w:tc>
          <w:tcPr>
            <w:tcW w:w="6627" w:type="dxa"/>
          </w:tcPr>
          <w:p w:rsidR="0064241C" w:rsidRPr="00C73C17" w:rsidRDefault="00B31C96" w:rsidP="006826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лицо финансового органа, зарегистрированно</w:t>
            </w:r>
            <w:r w:rsidR="006826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37E55">
              <w:rPr>
                <w:rFonts w:ascii="Times New Roman" w:hAnsi="Times New Roman" w:cs="Times New Roman"/>
                <w:sz w:val="24"/>
                <w:szCs w:val="24"/>
              </w:rPr>
              <w:t>ЕИС с полномочиями администратора</w:t>
            </w:r>
            <w:r w:rsidR="00952B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соответствии с Приказом Федерального казначейства от 30.12.2015 г.№27н</w:t>
            </w:r>
          </w:p>
        </w:tc>
      </w:tr>
      <w:tr w:rsidR="007B1CAD" w:rsidRPr="00C73C17" w:rsidTr="007B1CAD">
        <w:trPr>
          <w:trHeight w:val="896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АСФК</w:t>
            </w:r>
          </w:p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Прикладное программное обеспечение «Автоматизированная система Федерального казначейства»</w:t>
            </w:r>
          </w:p>
        </w:tc>
      </w:tr>
      <w:tr w:rsidR="007B1CAD" w:rsidRPr="00C73C17" w:rsidTr="007B1CAD">
        <w:trPr>
          <w:trHeight w:val="380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Бюджетное обязательство</w:t>
            </w:r>
          </w:p>
        </w:tc>
      </w:tr>
      <w:tr w:rsidR="008A0FC1" w:rsidRPr="00C73C17" w:rsidTr="007B1CAD">
        <w:trPr>
          <w:trHeight w:val="638"/>
        </w:trPr>
        <w:tc>
          <w:tcPr>
            <w:tcW w:w="2943" w:type="dxa"/>
          </w:tcPr>
          <w:p w:rsidR="008A0FC1" w:rsidRPr="00C73C17" w:rsidRDefault="009413F5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ГИИС ЭБ</w:t>
            </w:r>
          </w:p>
        </w:tc>
        <w:tc>
          <w:tcPr>
            <w:tcW w:w="6627" w:type="dxa"/>
          </w:tcPr>
          <w:p w:rsidR="008A0FC1" w:rsidRPr="00C73C17" w:rsidRDefault="009413F5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3F5">
              <w:rPr>
                <w:rFonts w:ascii="Times New Roman" w:hAnsi="Times New Roman" w:cs="Times New Roman"/>
                <w:sz w:val="24"/>
                <w:szCs w:val="24"/>
              </w:rPr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7B1CAD" w:rsidRPr="00C73C17" w:rsidTr="007B1CAD">
        <w:trPr>
          <w:trHeight w:val="638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ЕИС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7B1CAD" w:rsidRPr="00C73C17" w:rsidTr="007B1CAD">
        <w:trPr>
          <w:trHeight w:val="135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Закрытый объект контроля, сведения о закрытом объекте контроля </w:t>
            </w:r>
          </w:p>
        </w:tc>
        <w:tc>
          <w:tcPr>
            <w:tcW w:w="6627" w:type="dxa"/>
          </w:tcPr>
          <w:p w:rsidR="007B1CAD" w:rsidRPr="00C73C17" w:rsidRDefault="007B1CAD" w:rsidP="00F740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Объект контроля или сведения об объекте контроля, предусмотренные подпунктом «б» пункта 8 Правил осуществления контроля, не подлежащие размещению в </w:t>
            </w:r>
            <w:r w:rsidR="00F7409E" w:rsidRPr="00C73C17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F740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7409E"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F740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7409E"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F74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409E"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№ 44-ФЗ </w:t>
            </w:r>
          </w:p>
        </w:tc>
      </w:tr>
      <w:tr w:rsidR="007B1CAD" w:rsidRPr="00C73C17" w:rsidTr="007B1CAD">
        <w:trPr>
          <w:trHeight w:val="163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об  осуществлении закупки </w:t>
            </w:r>
          </w:p>
        </w:tc>
      </w:tr>
      <w:tr w:rsidR="007B1CAD" w:rsidRPr="00C73C17" w:rsidTr="007B1CAD">
        <w:trPr>
          <w:trHeight w:val="380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ИКЗ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закупки</w:t>
            </w:r>
          </w:p>
        </w:tc>
      </w:tr>
      <w:tr w:rsidR="007B1CAD" w:rsidRPr="00C73C17" w:rsidTr="007B1CAD">
        <w:trPr>
          <w:trHeight w:val="250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</w:tr>
      <w:tr w:rsidR="007B1CAD" w:rsidRPr="00C73C17" w:rsidTr="007B1CAD">
        <w:trPr>
          <w:trHeight w:val="217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Контроль, предусмотренный частью 5 статьи 99 Федерального закона № 44-ФЗ </w:t>
            </w:r>
          </w:p>
        </w:tc>
      </w:tr>
      <w:tr w:rsidR="007B1CAD" w:rsidRPr="00C73C17" w:rsidTr="007B1CAD">
        <w:trPr>
          <w:trHeight w:val="652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в налоговом органе</w:t>
            </w:r>
          </w:p>
        </w:tc>
      </w:tr>
      <w:tr w:rsidR="007B1CAD" w:rsidRPr="00C73C17" w:rsidTr="007B1CAD">
        <w:trPr>
          <w:trHeight w:val="145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ЛБО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обязательств </w:t>
            </w:r>
          </w:p>
        </w:tc>
      </w:tr>
      <w:tr w:rsidR="007B1CAD" w:rsidRPr="00C73C17" w:rsidTr="007B1CAD">
        <w:trPr>
          <w:trHeight w:val="163"/>
        </w:trPr>
        <w:tc>
          <w:tcPr>
            <w:tcW w:w="2943" w:type="dxa"/>
          </w:tcPr>
          <w:p w:rsidR="007B1CAD" w:rsidRPr="00C73C17" w:rsidRDefault="007B1CAD" w:rsidP="00E62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ЛК </w:t>
            </w:r>
            <w:r w:rsidR="00E623B6">
              <w:rPr>
                <w:rFonts w:ascii="Times New Roman" w:hAnsi="Times New Roman" w:cs="Times New Roman"/>
                <w:sz w:val="24"/>
                <w:szCs w:val="24"/>
              </w:rPr>
              <w:t>органа контроля</w:t>
            </w:r>
          </w:p>
        </w:tc>
        <w:tc>
          <w:tcPr>
            <w:tcW w:w="6627" w:type="dxa"/>
          </w:tcPr>
          <w:p w:rsidR="007B1CAD" w:rsidRPr="00C73C17" w:rsidRDefault="007B1CAD" w:rsidP="002D59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лица, уполномоченного на осуществление полномочий по контролю, в </w:t>
            </w:r>
            <w:r w:rsidR="002D59CC" w:rsidRPr="00C73C17">
              <w:rPr>
                <w:rFonts w:ascii="Times New Roman" w:hAnsi="Times New Roman" w:cs="Times New Roman"/>
                <w:sz w:val="24"/>
                <w:szCs w:val="24"/>
              </w:rPr>
              <w:t>Подсистем</w:t>
            </w:r>
            <w:r w:rsidR="002D59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59CC"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закупками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7B1CAD" w:rsidRPr="00C73C17" w:rsidTr="007B1CAD">
        <w:trPr>
          <w:trHeight w:val="159"/>
        </w:trPr>
        <w:tc>
          <w:tcPr>
            <w:tcW w:w="2943" w:type="dxa"/>
          </w:tcPr>
          <w:p w:rsidR="007B1CAD" w:rsidRPr="00C73C17" w:rsidRDefault="007B1CAD" w:rsidP="00E233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Личный кабинет </w:t>
            </w:r>
            <w:r w:rsidR="00E23335">
              <w:rPr>
                <w:rFonts w:ascii="Times New Roman" w:hAnsi="Times New Roman" w:cs="Times New Roman"/>
                <w:sz w:val="24"/>
                <w:szCs w:val="24"/>
              </w:rPr>
              <w:t>Заказчика</w:t>
            </w:r>
          </w:p>
        </w:tc>
        <w:tc>
          <w:tcPr>
            <w:tcW w:w="6627" w:type="dxa"/>
          </w:tcPr>
          <w:p w:rsidR="007B1CAD" w:rsidRPr="00C73C17" w:rsidRDefault="007B1CAD" w:rsidP="009D7F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лица, уполномоченного на осуществление полномочий по формированию объектов контроля, в </w:t>
            </w:r>
            <w:r w:rsidR="00D2228C" w:rsidRPr="00C73C17">
              <w:rPr>
                <w:rFonts w:ascii="Times New Roman" w:hAnsi="Times New Roman" w:cs="Times New Roman"/>
                <w:sz w:val="24"/>
                <w:szCs w:val="24"/>
              </w:rPr>
              <w:t>Подсистем</w:t>
            </w:r>
            <w:r w:rsidR="00D222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228C"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закупками государственной интегрированной информационной системы управления общественными финансами «Электронный бюджет»</w:t>
            </w:r>
            <w:r w:rsidR="00D22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или в </w:t>
            </w:r>
            <w:r w:rsidR="009D7F6A" w:rsidRPr="00C73C17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9D7F6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D7F6A"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9D7F6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9D7F6A"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система в сфере закупок</w:t>
            </w:r>
            <w:proofErr w:type="gramEnd"/>
          </w:p>
        </w:tc>
      </w:tr>
      <w:tr w:rsidR="007B1CAD" w:rsidRPr="00C73C17" w:rsidTr="007B1CAD">
        <w:trPr>
          <w:trHeight w:val="118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</w:t>
            </w:r>
          </w:p>
        </w:tc>
      </w:tr>
      <w:tr w:rsidR="00413333" w:rsidRPr="00C73C17" w:rsidTr="007B1CAD">
        <w:trPr>
          <w:trHeight w:val="190"/>
        </w:trPr>
        <w:tc>
          <w:tcPr>
            <w:tcW w:w="2943" w:type="dxa"/>
          </w:tcPr>
          <w:p w:rsidR="00413333" w:rsidRPr="00C73C17" w:rsidRDefault="00413333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6627" w:type="dxa"/>
          </w:tcPr>
          <w:p w:rsidR="00413333" w:rsidRPr="00C73C17" w:rsidRDefault="00413333" w:rsidP="006826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</w:tr>
      <w:tr w:rsidR="007B1CAD" w:rsidRPr="00C73C17" w:rsidTr="007B1CAD">
        <w:trPr>
          <w:trHeight w:val="190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6627" w:type="dxa"/>
          </w:tcPr>
          <w:p w:rsidR="007B1CAD" w:rsidRPr="00C73C17" w:rsidRDefault="007B1CAD" w:rsidP="006826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в </w:t>
            </w:r>
            <w:proofErr w:type="spellStart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. электронные, подлежащие контролю в соответствии с </w:t>
            </w:r>
            <w:hyperlink r:id="rId9" w:history="1">
              <w:r w:rsidRPr="00C73C17">
                <w:rPr>
                  <w:rFonts w:ascii="Times New Roman" w:hAnsi="Times New Roman" w:cs="Times New Roman"/>
                  <w:sz w:val="24"/>
                  <w:szCs w:val="24"/>
                </w:rPr>
                <w:t>частью 5 статьи 99</w:t>
              </w:r>
            </w:hyperlink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</w:t>
            </w:r>
            <w:r w:rsidR="006826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</w:p>
        </w:tc>
      </w:tr>
      <w:tr w:rsidR="007B1CAD" w:rsidRPr="00C73C17" w:rsidTr="007B1CAD">
        <w:trPr>
          <w:trHeight w:val="177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Код территории соответствующего публично-правового образования по Общероссийскому </w:t>
            </w:r>
            <w:hyperlink r:id="rId10" w:history="1">
              <w:r w:rsidRPr="00717185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муниципальных образований</w:t>
            </w:r>
          </w:p>
        </w:tc>
      </w:tr>
      <w:tr w:rsidR="007B1CAD" w:rsidRPr="00C73C17" w:rsidTr="00682647">
        <w:trPr>
          <w:trHeight w:val="841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ОПЗ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уполномоченная на осуществление закупок в соответствии с частью 6 статьи 15 Федерального закона </w:t>
            </w:r>
          </w:p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</w:p>
        </w:tc>
      </w:tr>
      <w:tr w:rsidR="007B1CAD" w:rsidRPr="00C73C17" w:rsidTr="007B1CAD">
        <w:trPr>
          <w:trHeight w:val="163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627" w:type="dxa"/>
          </w:tcPr>
          <w:p w:rsidR="007B1CAD" w:rsidRPr="00C73C17" w:rsidRDefault="007B1CAD" w:rsidP="006826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План закупок, </w:t>
            </w:r>
            <w:r w:rsidRPr="00C7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сформированный в соответстви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Требованиями к форме к форме плана закупок товаров, работ, услуг,  утвержденными постановлением Правительства  Российской Федерации от 21.11.2013 № 1043 </w:t>
            </w:r>
            <w:r w:rsidR="0068264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82647" w:rsidRPr="00C73C17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 Российской Федерации</w:t>
            </w:r>
            <w:r w:rsidR="00682647">
              <w:rPr>
                <w:rFonts w:ascii="Times New Roman" w:hAnsi="Times New Roman" w:cs="Times New Roman"/>
                <w:sz w:val="24"/>
                <w:szCs w:val="24"/>
              </w:rPr>
              <w:t xml:space="preserve"> от 05.06.2015 № 552</w:t>
            </w:r>
          </w:p>
        </w:tc>
      </w:tr>
      <w:tr w:rsidR="007B1CAD" w:rsidRPr="00C73C17" w:rsidTr="007B1CAD">
        <w:trPr>
          <w:trHeight w:val="149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ПГЗ</w:t>
            </w:r>
          </w:p>
        </w:tc>
        <w:tc>
          <w:tcPr>
            <w:tcW w:w="6627" w:type="dxa"/>
          </w:tcPr>
          <w:p w:rsidR="007B1CAD" w:rsidRPr="00C73C17" w:rsidRDefault="007B1CAD" w:rsidP="0068264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План-график закупок</w:t>
            </w:r>
            <w:r w:rsidRPr="00C7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сформированный в соответстви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Требованиями к форме плана-графика закупок товаров, работ, услуг,  утвержденными постановлением Правительства  Российской Федерации от 05.06.2015 № 554</w:t>
            </w:r>
            <w:r w:rsidR="006826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82647" w:rsidRPr="00C73C17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 Российской Федерации</w:t>
            </w:r>
            <w:r w:rsidR="00682647">
              <w:rPr>
                <w:rFonts w:ascii="Times New Roman" w:hAnsi="Times New Roman" w:cs="Times New Roman"/>
                <w:sz w:val="24"/>
                <w:szCs w:val="24"/>
              </w:rPr>
              <w:t xml:space="preserve"> от 05.06.2015 № 553</w:t>
            </w:r>
          </w:p>
        </w:tc>
      </w:tr>
      <w:tr w:rsidR="007B1CAD" w:rsidRPr="00C73C17" w:rsidTr="007B1CAD">
        <w:trPr>
          <w:trHeight w:val="177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ПФХД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финансово-хозяйственной деятельности,  составляемый с учетом положений Требований к 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плану финансово-хозяйственной деятельности государственного (муниципального) учреждения, </w:t>
            </w:r>
            <w:proofErr w:type="gramStart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 Министерства финансов Российской Федерации от 28.07.2010 № 81н </w:t>
            </w:r>
          </w:p>
        </w:tc>
      </w:tr>
      <w:tr w:rsidR="007B1CAD" w:rsidRPr="00C73C17" w:rsidTr="007B1CAD">
        <w:trPr>
          <w:trHeight w:val="82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ПУЗ</w:t>
            </w:r>
            <w:proofErr w:type="gramEnd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ЭБ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Подсистема управления закупками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7B1CAD" w:rsidRPr="00C73C17" w:rsidTr="007B1CAD">
        <w:trPr>
          <w:trHeight w:val="748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ПУР ЭБ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Подсистема управления расходами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7B1CAD" w:rsidRPr="00C73C17" w:rsidTr="007B1CAD">
        <w:trPr>
          <w:trHeight w:val="2170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взаимодействия 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Порядок взаимодействия Федерального казначейства с субъектами контроля, указанными в пунктах 3 и 6 Правил осуществления контроля, предусмотренного частью 5 статьи 99 Федерального закона  «О контрактной системе в сфере закупок товаров, работ, услуг для обеспечения государственных и муниципальных нужд», утвержденный приказом  Министерства финансов Российской Федерации от 04.07.2016 № 104н</w:t>
            </w:r>
          </w:p>
        </w:tc>
      </w:tr>
      <w:tr w:rsidR="007B1CAD" w:rsidRPr="00C73C17" w:rsidTr="007B1CAD">
        <w:trPr>
          <w:trHeight w:val="177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Постановление № 1084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28.11.2013 № 1084 (ред. от 09.06.2015) «О порядке ведения реестра контрактов, заключенных заказчиками, и реестра контрактов, содержащего сведения, сост</w:t>
            </w:r>
            <w:r w:rsidR="009547B0">
              <w:rPr>
                <w:rFonts w:ascii="Times New Roman" w:hAnsi="Times New Roman" w:cs="Times New Roman"/>
                <w:sz w:val="24"/>
                <w:szCs w:val="24"/>
              </w:rPr>
              <w:t>авляющие государственную тайну»</w:t>
            </w:r>
          </w:p>
        </w:tc>
      </w:tr>
      <w:tr w:rsidR="007B1CAD" w:rsidRPr="00C73C17" w:rsidTr="007B1CAD">
        <w:trPr>
          <w:trHeight w:val="818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ведения РК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ведения реестра контрактов, заключенных заказчиками, утвержденные постановлением Правительства  Российской Федерации от 28.11.2013 № 1084 </w:t>
            </w:r>
          </w:p>
        </w:tc>
      </w:tr>
      <w:tr w:rsidR="007B1CAD" w:rsidRPr="00C73C17" w:rsidTr="007B1CAD">
        <w:trPr>
          <w:trHeight w:val="1694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Правила осуществления контроля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Правила осуществления контроля,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утвержденные постановлением Правительства Российской Федерации от  12.12.2015 № 1367</w:t>
            </w:r>
          </w:p>
        </w:tc>
      </w:tr>
      <w:tr w:rsidR="007B1CAD" w:rsidRPr="00C73C17" w:rsidTr="007B1CAD">
        <w:trPr>
          <w:trHeight w:val="344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 104н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04.07.2016 № 104н «О порядке взаимодействия Федерального казначейства с субъектами контроля, указанными в пунктах 3 и 6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7B1CAD" w:rsidRPr="00C73C17" w:rsidTr="007B1CAD">
        <w:trPr>
          <w:trHeight w:val="127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Приказ № 221н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Приказ  Министерства финансов Российской Федерации от 30.12.2015 № 221н</w:t>
            </w:r>
          </w:p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учета территориальными органами Федерального казначейства бюджетных и денежных обязательств получателей средств федерального бюджета»</w:t>
            </w:r>
          </w:p>
        </w:tc>
      </w:tr>
      <w:tr w:rsidR="007B1CAD" w:rsidRPr="00C73C17" w:rsidTr="007B1CAD">
        <w:trPr>
          <w:trHeight w:val="312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Проект контракта</w:t>
            </w:r>
          </w:p>
        </w:tc>
        <w:tc>
          <w:tcPr>
            <w:tcW w:w="6627" w:type="dxa"/>
          </w:tcPr>
          <w:p w:rsidR="007B1CAD" w:rsidRPr="00C73C17" w:rsidRDefault="00415AED" w:rsidP="00415A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контракта, </w:t>
            </w:r>
            <w:r w:rsidR="007B1CAD" w:rsidRPr="00C73C17">
              <w:rPr>
                <w:rFonts w:ascii="Times New Roman" w:hAnsi="Times New Roman" w:cs="Times New Roman"/>
                <w:sz w:val="24"/>
                <w:szCs w:val="24"/>
              </w:rPr>
              <w:t>направляемый участнику закупки (контракт, возвращаемый участником закупки)</w:t>
            </w:r>
          </w:p>
        </w:tc>
      </w:tr>
      <w:tr w:rsidR="007B1CAD" w:rsidRPr="00C73C17" w:rsidTr="007B1CAD">
        <w:trPr>
          <w:trHeight w:val="298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Протокол определения поставщика (подрядчика, исполнителя)</w:t>
            </w:r>
            <w:r w:rsidR="005D60AD">
              <w:rPr>
                <w:rFonts w:ascii="Times New Roman" w:hAnsi="Times New Roman" w:cs="Times New Roman"/>
                <w:sz w:val="24"/>
                <w:szCs w:val="24"/>
              </w:rPr>
              <w:t>, содержащий информацию о победителе</w:t>
            </w:r>
          </w:p>
        </w:tc>
      </w:tr>
      <w:tr w:rsidR="007B1CAD" w:rsidRPr="00C73C17" w:rsidTr="007B1CAD">
        <w:trPr>
          <w:trHeight w:val="285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Протокол о несоответствии</w:t>
            </w:r>
          </w:p>
        </w:tc>
        <w:tc>
          <w:tcPr>
            <w:tcW w:w="6627" w:type="dxa"/>
          </w:tcPr>
          <w:p w:rsidR="007B1CAD" w:rsidRPr="00C73C17" w:rsidRDefault="007B1CAD" w:rsidP="00EF14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 несоответствии контролируемой информации требованиям, установленным </w:t>
            </w:r>
            <w:hyperlink r:id="rId11" w:history="1">
              <w:r w:rsidRPr="00C73C17">
                <w:rPr>
                  <w:rFonts w:ascii="Times New Roman" w:hAnsi="Times New Roman" w:cs="Times New Roman"/>
                  <w:sz w:val="24"/>
                  <w:szCs w:val="24"/>
                </w:rPr>
                <w:t>частью 5 статьи 99</w:t>
              </w:r>
            </w:hyperlink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  направляемый органом контроля </w:t>
            </w:r>
            <w:r w:rsidR="00EF1458"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приказом   Министерства финансов Российской Федерации от 04.07.2016 № 104н  «О порядке взаимодействия Федерального казначейства с субъектами контроля, указанными в пунктах 3 и 6 Правил осуществления контроля, предусмотренного частью 5 статьи 99 Федерального закона "О контрактной системе в сфере закупок товаров, работ</w:t>
            </w:r>
            <w:proofErr w:type="gramEnd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, услуг для обеспечения государственных и муниципальных нужд»</w:t>
            </w:r>
          </w:p>
        </w:tc>
      </w:tr>
      <w:tr w:rsidR="007B1CAD" w:rsidRPr="00C73C17" w:rsidTr="007B1CAD">
        <w:trPr>
          <w:trHeight w:val="489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Реестр контрактов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Реестр контрактов, заключенных заказчиками</w:t>
            </w:r>
          </w:p>
        </w:tc>
      </w:tr>
      <w:tr w:rsidR="000D0E42" w:rsidRPr="00C73C17" w:rsidTr="007B1CAD">
        <w:trPr>
          <w:trHeight w:val="141"/>
        </w:trPr>
        <w:tc>
          <w:tcPr>
            <w:tcW w:w="2943" w:type="dxa"/>
          </w:tcPr>
          <w:p w:rsidR="000D0E42" w:rsidRPr="00C73C17" w:rsidRDefault="000D0E42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ГМУ</w:t>
            </w:r>
          </w:p>
        </w:tc>
        <w:tc>
          <w:tcPr>
            <w:tcW w:w="6627" w:type="dxa"/>
          </w:tcPr>
          <w:p w:rsidR="000D0E42" w:rsidRPr="00C73C17" w:rsidRDefault="000D0E42" w:rsidP="006118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E42">
              <w:rPr>
                <w:rFonts w:ascii="Times New Roman" w:hAnsi="Times New Roman" w:cs="Times New Roman"/>
                <w:sz w:val="24"/>
                <w:szCs w:val="24"/>
              </w:rPr>
              <w:t>Официальный сайт для размещения информации о государственных (муниципальных) учреждениях и их обособленных структурных подразделениях в сети Интернет (www.bus.gov.ru), ведение которого осуществляется в соответствии с Порядком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утвержденным Приказом Минфина России от 21.07.2011 № 86н (ред. от 17.12.2015)</w:t>
            </w:r>
            <w:proofErr w:type="gramEnd"/>
          </w:p>
        </w:tc>
      </w:tr>
      <w:tr w:rsidR="007B1CAD" w:rsidRPr="00C73C17" w:rsidTr="007B1CAD">
        <w:trPr>
          <w:trHeight w:val="141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Сведения об объемах средств, указанных в НПА</w:t>
            </w:r>
          </w:p>
        </w:tc>
        <w:tc>
          <w:tcPr>
            <w:tcW w:w="6627" w:type="dxa"/>
          </w:tcPr>
          <w:p w:rsidR="007B1CAD" w:rsidRPr="00C73C17" w:rsidRDefault="007B1CAD" w:rsidP="006118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объемах средств, указанных в правовых актах (проектах таких актов, размещенных в установленном порядке в целях общественного обсуждения) Правительства Российской Федерации, федеральных органов исполнительной власти и иных документах, установленных Правительством Российской Федерации, предусматривающих в соответствии с бюджетным законодательством Российской Федерации возможность заключения государственного контракта на срок, превышающий срок действия доведенных лимитов бюджетных обязательств направляемые в </w:t>
            </w:r>
            <w:r w:rsidR="006118D8" w:rsidRPr="00C73C17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Федерального казначейства</w:t>
            </w:r>
            <w:proofErr w:type="gramEnd"/>
            <w:r w:rsidR="006118D8" w:rsidRPr="00C73C17">
              <w:rPr>
                <w:rFonts w:ascii="Times New Roman" w:hAnsi="Times New Roman" w:cs="Times New Roman"/>
                <w:sz w:val="24"/>
                <w:szCs w:val="24"/>
              </w:rPr>
              <w:t>,  осуществляющий контроль в соответствии с   частью 5 статьи 99 Федерального закона  № 44-ФЗ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1CAD" w:rsidRPr="00C73C17" w:rsidTr="007B1CAD">
        <w:trPr>
          <w:trHeight w:val="122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Сводный реестр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Реестр участников бюджетного процесса, а также юридических лиц, не являющихся участниками бюджетного процесса, порядок формирования и ведения которого утвержден приказом Министерства финансов Российской Федерации от 23.12.2014 № 163н</w:t>
            </w:r>
          </w:p>
        </w:tc>
      </w:tr>
      <w:tr w:rsidR="007B1CAD" w:rsidRPr="00C73C17" w:rsidTr="007B1CAD">
        <w:trPr>
          <w:trHeight w:val="163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F977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Субъекты контроля,  определенные в соответствии с пунктом 3</w:t>
            </w:r>
            <w:r w:rsidR="00F9775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осуществления контроля </w:t>
            </w:r>
          </w:p>
        </w:tc>
      </w:tr>
      <w:tr w:rsidR="007B1CAD" w:rsidRPr="00C73C17" w:rsidTr="007B1CAD">
        <w:trPr>
          <w:trHeight w:val="149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ТОФК</w:t>
            </w:r>
          </w:p>
        </w:tc>
        <w:tc>
          <w:tcPr>
            <w:tcW w:w="6627" w:type="dxa"/>
          </w:tcPr>
          <w:p w:rsidR="007B1CAD" w:rsidRPr="00C73C17" w:rsidRDefault="007B1CAD" w:rsidP="00F977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Федерального казначейства </w:t>
            </w:r>
          </w:p>
        </w:tc>
      </w:tr>
      <w:tr w:rsidR="007B1CAD" w:rsidRPr="00C73C17" w:rsidTr="007B1CAD">
        <w:trPr>
          <w:trHeight w:val="95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</w:tr>
      <w:tr w:rsidR="007B1CAD" w:rsidRPr="00C73C17" w:rsidTr="007B1CAD">
        <w:trPr>
          <w:trHeight w:val="1260"/>
        </w:trPr>
        <w:tc>
          <w:tcPr>
            <w:tcW w:w="2943" w:type="dxa"/>
          </w:tcPr>
          <w:p w:rsidR="007B1CAD" w:rsidRPr="00C73C17" w:rsidRDefault="007B1CAD" w:rsidP="007B1C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44-ФЗ</w:t>
            </w:r>
          </w:p>
        </w:tc>
        <w:tc>
          <w:tcPr>
            <w:tcW w:w="6627" w:type="dxa"/>
          </w:tcPr>
          <w:p w:rsidR="007B1CAD" w:rsidRPr="00C73C17" w:rsidRDefault="007B1CAD" w:rsidP="007B1CAD">
            <w:pPr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C1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8A6D8F" w:rsidRDefault="008A6D8F" w:rsidP="007B1CAD">
      <w:pPr>
        <w:jc w:val="both"/>
        <w:rPr>
          <w:b/>
          <w:color w:val="1F497D"/>
        </w:rPr>
      </w:pPr>
    </w:p>
    <w:p w:rsidR="00FA39F2" w:rsidRDefault="00FA39F2" w:rsidP="00FA39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356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A6356">
        <w:rPr>
          <w:rFonts w:ascii="Times New Roman" w:hAnsi="Times New Roman" w:cs="Times New Roman"/>
          <w:sz w:val="28"/>
          <w:szCs w:val="28"/>
        </w:rPr>
        <w:t xml:space="preserve"> кабинет органа, осуществляющего контроль по части 5 статьи 99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 44-ФЗ (далее – орган контроля), предназначен для реализации полномочий, предусмотренных </w:t>
      </w:r>
      <w:r w:rsidRPr="007A6356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7A6356">
        <w:rPr>
          <w:rFonts w:ascii="Times New Roman" w:hAnsi="Times New Roman" w:cs="Times New Roman"/>
          <w:sz w:val="28"/>
          <w:szCs w:val="28"/>
        </w:rPr>
        <w:t xml:space="preserve"> 5 статьи 99 Федерального закона </w:t>
      </w:r>
      <w:r>
        <w:rPr>
          <w:rFonts w:ascii="Times New Roman" w:hAnsi="Times New Roman" w:cs="Times New Roman"/>
          <w:sz w:val="28"/>
          <w:szCs w:val="28"/>
        </w:rPr>
        <w:t>№ 44-ФЗ, и обеспечивает следующие группы функций</w:t>
      </w:r>
      <w:r w:rsidRPr="007A6356">
        <w:rPr>
          <w:rFonts w:ascii="Times New Roman" w:hAnsi="Times New Roman" w:cs="Times New Roman"/>
          <w:sz w:val="28"/>
          <w:szCs w:val="28"/>
        </w:rPr>
        <w:t>, связ</w:t>
      </w:r>
      <w:r>
        <w:rPr>
          <w:rFonts w:ascii="Times New Roman" w:hAnsi="Times New Roman" w:cs="Times New Roman"/>
          <w:sz w:val="28"/>
          <w:szCs w:val="28"/>
        </w:rPr>
        <w:t>анных с осуществлением контроля:</w:t>
      </w:r>
    </w:p>
    <w:p w:rsidR="00FA39F2" w:rsidRDefault="00FA39F2" w:rsidP="00FA39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Настройка связей между органом контроля и субъектами контроля.</w:t>
      </w:r>
    </w:p>
    <w:p w:rsidR="00FA39F2" w:rsidRDefault="00FA39F2" w:rsidP="00FA39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объектами контроля.</w:t>
      </w:r>
    </w:p>
    <w:p w:rsidR="00FA39F2" w:rsidRDefault="00FA39F2" w:rsidP="00FA39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Оформление результатов контроля.</w:t>
      </w:r>
    </w:p>
    <w:p w:rsidR="00FA39F2" w:rsidRPr="00B46D4A" w:rsidRDefault="00FA39F2" w:rsidP="00FA39F2">
      <w:pPr>
        <w:pStyle w:val="a3"/>
        <w:ind w:left="0" w:firstLine="708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6D4A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</w:p>
    <w:p w:rsidR="00FA39F2" w:rsidRPr="00EA723A" w:rsidRDefault="00FA39F2" w:rsidP="00FA39F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23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723A">
        <w:rPr>
          <w:rFonts w:ascii="Times New Roman" w:hAnsi="Times New Roman" w:cs="Times New Roman"/>
          <w:b/>
          <w:sz w:val="28"/>
          <w:szCs w:val="28"/>
        </w:rPr>
        <w:t>. Настройка связей между органом контроля и субъектам контроля</w:t>
      </w:r>
    </w:p>
    <w:p w:rsidR="00FA39F2" w:rsidRPr="00871C47" w:rsidRDefault="00FA39F2" w:rsidP="00FA39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47">
        <w:rPr>
          <w:rFonts w:ascii="Times New Roman" w:hAnsi="Times New Roman" w:cs="Times New Roman"/>
          <w:sz w:val="28"/>
          <w:szCs w:val="28"/>
        </w:rPr>
        <w:tab/>
        <w:t>В Личном кабинете органа контроля реализованы следующие функциональные возможности:</w:t>
      </w:r>
    </w:p>
    <w:p w:rsidR="00FA39F2" w:rsidRPr="00871C47" w:rsidRDefault="00FA39F2" w:rsidP="00FA39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47">
        <w:rPr>
          <w:rFonts w:ascii="Times New Roman" w:hAnsi="Times New Roman" w:cs="Times New Roman"/>
          <w:sz w:val="28"/>
          <w:szCs w:val="28"/>
        </w:rPr>
        <w:t>1. Просмотр автоматически сформированного на основании сведений Сводного реестра перечня субъектов контроля, в отношении которых орган контроля осуществляет функции контроля.</w:t>
      </w:r>
    </w:p>
    <w:p w:rsidR="00FA39F2" w:rsidRPr="00871C47" w:rsidRDefault="00FA39F2" w:rsidP="00FA39F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C47">
        <w:rPr>
          <w:rFonts w:ascii="Times New Roman" w:hAnsi="Times New Roman" w:cs="Times New Roman"/>
          <w:sz w:val="28"/>
          <w:szCs w:val="28"/>
        </w:rPr>
        <w:t>В перечень субъектов контроля входят следующие организации, сведения о которых включены в Сводный реестр: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  <w:t xml:space="preserve">1.1. Для органа контроля, </w:t>
      </w:r>
      <w:r w:rsidRPr="003D0E91">
        <w:rPr>
          <w:b/>
        </w:rPr>
        <w:t>являющегося территориальным органом Федерального казначейства (далее – ТОФК):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</w:r>
      <w:proofErr w:type="gramStart"/>
      <w:r>
        <w:t>- организации с полномочиями в сфере закупок «заказчик»,</w:t>
      </w:r>
      <w:r w:rsidRPr="006C62DD">
        <w:t xml:space="preserve"> </w:t>
      </w:r>
      <w:r>
        <w:t>являющиеся федеральными казенными учреждениями, филиалами казенных учреждений, федеральными органами государственной власти, в сведениях Сводного реестра которых указаны сведения о лицевых счетах, начинающихся с «03» и «14», открытых в данном ТОФК</w:t>
      </w:r>
      <w:r w:rsidRPr="00690D3B">
        <w:t xml:space="preserve"> </w:t>
      </w:r>
      <w:r>
        <w:t>(в количестве открытых лицевых счетов, начинающихся с «03» и «14»);</w:t>
      </w:r>
      <w:proofErr w:type="gramEnd"/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  <w:t xml:space="preserve">- организации с полномочиями в сфере закупок «заказчик», являющиеся </w:t>
      </w:r>
      <w:r>
        <w:lastRenderedPageBreak/>
        <w:t>федеральными бюджетными, автономными учреждениями, федеральными государственными унитарными предприятиями,</w:t>
      </w:r>
      <w:r w:rsidRPr="00AF52DE">
        <w:t xml:space="preserve"> </w:t>
      </w:r>
      <w:r>
        <w:t xml:space="preserve">филиалами федеральных бюджетных, автономных учреждений, федеральных государственных унитарных предприятий, в сведениях Сводного реестра которых указаны сведения о лицевых счетах, открытых </w:t>
      </w:r>
      <w:proofErr w:type="gramStart"/>
      <w:r>
        <w:t>в</w:t>
      </w:r>
      <w:proofErr w:type="gramEnd"/>
      <w:r>
        <w:t xml:space="preserve"> данном ТОФК. Запись об организации включается в перечень один раз (независимо от количества лицевых счетов в сведениях Сводного реестра);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  <w:t xml:space="preserve">- организации с полномочиями в сфере закупок «заказчик», сведения о которых внесены в Сводный реестр финансовым органом, органом управления государственным внебюджетным фондом, в случае если полномочия по контролю указанного финансового органа, органа управления государственным внебюджетным фондом переданы данному ТОФК, и лицевые счета которых открыты </w:t>
      </w:r>
      <w:proofErr w:type="gramStart"/>
      <w:r>
        <w:t>в</w:t>
      </w:r>
      <w:proofErr w:type="gramEnd"/>
      <w:r>
        <w:t xml:space="preserve"> данном ТОФК;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  <w:t xml:space="preserve">1.2. Для органа контроля, </w:t>
      </w:r>
      <w:r w:rsidRPr="00737C05">
        <w:rPr>
          <w:b/>
        </w:rPr>
        <w:t>являющегося финансовым органом, органом управления государственным внебюджетным фондом</w:t>
      </w:r>
      <w:r>
        <w:t>: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</w:r>
      <w:proofErr w:type="gramStart"/>
      <w:r>
        <w:t xml:space="preserve">- организации, сведения о которых внесены в Сводный реестр данным </w:t>
      </w:r>
      <w:r w:rsidRPr="004E3181">
        <w:t>финансовы</w:t>
      </w:r>
      <w:r>
        <w:t>м</w:t>
      </w:r>
      <w:r w:rsidRPr="004E3181">
        <w:t xml:space="preserve"> орган</w:t>
      </w:r>
      <w:r>
        <w:t>ом, органом управления государственным внебюджетным фондом, имеющие полномочия в сфере закупок «заказчик»,</w:t>
      </w:r>
      <w:r w:rsidRPr="006C62DD">
        <w:t xml:space="preserve"> </w:t>
      </w:r>
      <w:r>
        <w:t>являющиеся государственными (муниципальными) казенными учреждениями, филиалами государственными (муниципальными) казенных учреждений, органами государственной власти субъекта РФ (ОМСУ), в сведениях Сводного реестра которых указаны сведения о лицевых счетах, начинающихся с «03» и «14», открытых в территориальном органе Федерального казначейства</w:t>
      </w:r>
      <w:r w:rsidRPr="00690D3B">
        <w:t xml:space="preserve"> </w:t>
      </w:r>
      <w:r>
        <w:t>(в</w:t>
      </w:r>
      <w:proofErr w:type="gramEnd"/>
      <w:r>
        <w:t xml:space="preserve"> </w:t>
      </w:r>
      <w:proofErr w:type="gramStart"/>
      <w:r>
        <w:t>количестве</w:t>
      </w:r>
      <w:proofErr w:type="gramEnd"/>
      <w:r>
        <w:t xml:space="preserve"> открытых лицевых счетов, начинающихся с «03» и «14»). В случае</w:t>
      </w:r>
      <w:proofErr w:type="gramStart"/>
      <w:r>
        <w:t>,</w:t>
      </w:r>
      <w:proofErr w:type="gramEnd"/>
      <w:r>
        <w:t xml:space="preserve"> если в Сводном реестре не указана информация о лицевых счетах, открытых в ТОФК, запись об организации включается в перечень один раз;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</w:r>
      <w:proofErr w:type="gramStart"/>
      <w:r>
        <w:t>- организации с полномочиями в сфере закупок «заказчик», являющиеся государственными (муниципальными) бюджетными, автономными учреждениями, государственными (муниципальными) унитарными предприятиями, филиалами государственных (муниципальных) бюджетных, автономных учреждений, государственных (муниципальных) унитарных предприятий.</w:t>
      </w:r>
      <w:proofErr w:type="gramEnd"/>
      <w:r>
        <w:t xml:space="preserve"> Запись об организации включается в перечень один раз (независимо от количества лицевых счетов в сведениях Сводного реестра).</w:t>
      </w:r>
    </w:p>
    <w:p w:rsidR="00FA39F2" w:rsidRDefault="00FA39F2" w:rsidP="00FA39F2">
      <w:pPr>
        <w:pStyle w:val="a3"/>
        <w:spacing w:after="0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Настройка срока проведения контроля в соответствии с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частью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статьи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99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№ 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Pr="006E2373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По умолчанию устанавливается значение 24 часа с возможностью редактирования. </w:t>
            </w:r>
            <w:r w:rsidRPr="00EA29E0">
              <w:rPr>
                <w:rFonts w:ascii="Arial Black" w:eastAsia="Calibri" w:hAnsi="Arial Black" w:cs="Times New Roman"/>
                <w:b/>
                <w:i/>
                <w:color w:val="C00000"/>
                <w:sz w:val="20"/>
                <w:szCs w:val="20"/>
                <w:lang w:eastAsia="ru-RU"/>
              </w:rPr>
              <w:t>Для ТОФК всегда 24 часа.</w:t>
            </w:r>
          </w:p>
        </w:tc>
      </w:tr>
    </w:tbl>
    <w:p w:rsidR="00FA39F2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</w:r>
      <w:r w:rsidRPr="00737EB3">
        <w:t>3.</w:t>
      </w:r>
      <w:r>
        <w:t xml:space="preserve"> Поиск субъекта контроля по ИНН заказчика, наименованию заказчика.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  <w:t>4. Д</w:t>
      </w:r>
      <w:r w:rsidRPr="0052206C">
        <w:t>обавлени</w:t>
      </w:r>
      <w:r>
        <w:t>е</w:t>
      </w:r>
      <w:r w:rsidRPr="0052206C">
        <w:t xml:space="preserve"> в перечень субъектов контроля организаций, включенных в Сводный реестр и имеющих полномочие «заказчик», администратором органа контроля</w:t>
      </w:r>
      <w:r>
        <w:t xml:space="preserve"> путем отбора по </w:t>
      </w:r>
      <w:r w:rsidRPr="00682AE5">
        <w:t>ИНН</w:t>
      </w:r>
      <w:r>
        <w:t xml:space="preserve"> и/или наименованию</w:t>
      </w:r>
      <w:r w:rsidRPr="00682AE5">
        <w:t xml:space="preserve"> заказчика</w:t>
      </w:r>
      <w:r>
        <w:t xml:space="preserve"> </w:t>
      </w:r>
      <w:r>
        <w:rPr>
          <w:rStyle w:val="ac"/>
        </w:rPr>
        <w:footnoteReference w:id="1"/>
      </w:r>
      <w:r>
        <w:t>.</w:t>
      </w:r>
    </w:p>
    <w:p w:rsidR="00FA39F2" w:rsidRDefault="00FA39F2" w:rsidP="00FA39F2">
      <w:pPr>
        <w:pStyle w:val="a3"/>
        <w:spacing w:after="0" w:line="240" w:lineRule="auto"/>
        <w:ind w:left="0"/>
        <w:jc w:val="both"/>
      </w:pP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Pr="006E2373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В Личном кабинете органа контроля осуществляется </w:t>
            </w:r>
            <w:r w:rsidRPr="007548AF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автома</w:t>
            </w:r>
            <w:r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тическая проверка, запрещающая добавление</w:t>
            </w:r>
            <w:r w:rsidRPr="007548AF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 xml:space="preserve"> заказчика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в состав субъектов контроля в случае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,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если данный </w:t>
            </w:r>
            <w:r w:rsidRPr="007548AF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заказчик включен ранее</w:t>
            </w:r>
            <w:r w:rsidRPr="007548AF">
              <w:rPr>
                <w:rFonts w:ascii="Arial Black" w:eastAsia="Calibri" w:hAnsi="Arial Black" w:cs="Times New Roman"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в состав субъектов контроля </w:t>
            </w:r>
            <w:r w:rsidRPr="007548AF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другим органом контроля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, с отображением соответствующего сообщения</w:t>
            </w:r>
          </w:p>
        </w:tc>
      </w:tr>
    </w:tbl>
    <w:p w:rsidR="00FA39F2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  <w:t>5. Указание для заказчика, являющегося получателем бюджетных средств, актуального лицевого счета, открытого в ТОФК, начинающегося с «03» путем выбора из Сводного реестра.</w:t>
      </w:r>
    </w:p>
    <w:p w:rsidR="00FA39F2" w:rsidRDefault="00FA39F2" w:rsidP="00FA39F2">
      <w:pPr>
        <w:pStyle w:val="a3"/>
        <w:keepNext/>
        <w:spacing w:before="240" w:after="240" w:line="240" w:lineRule="auto"/>
        <w:ind w:left="0"/>
        <w:contextualSpacing w:val="0"/>
        <w:jc w:val="center"/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</w:pPr>
      <w:r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 xml:space="preserve">Рисунок 2 </w:t>
      </w:r>
      <w:r w:rsidRPr="00416D8F"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 xml:space="preserve">- </w:t>
      </w:r>
      <w:r w:rsidRPr="00936C2E"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>Отображение табличного списка субъектов контроля для органа контроля, являющегося финансовым органом, органом управления государственным внебюджетным фондом</w:t>
      </w:r>
      <w:r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>:</w:t>
      </w:r>
    </w:p>
    <w:p w:rsidR="00FA39F2" w:rsidRDefault="00FA39F2" w:rsidP="00FA39F2">
      <w:pPr>
        <w:pStyle w:val="a3"/>
        <w:spacing w:after="0" w:line="240" w:lineRule="auto"/>
        <w:ind w:left="0"/>
        <w:jc w:val="both"/>
      </w:pPr>
      <w:r>
        <w:object w:dxaOrig="18976" w:dyaOrig="10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pt;height:217.45pt" o:ole="">
            <v:imagedata r:id="rId12" o:title=""/>
          </v:shape>
          <o:OLEObject Type="Embed" ProgID="Visio.Drawing.15" ShapeID="_x0000_i1025" DrawAspect="Content" ObjectID="_1545738771" r:id="rId13"/>
        </w:object>
      </w:r>
    </w:p>
    <w:p w:rsidR="00FA39F2" w:rsidRDefault="00FA39F2" w:rsidP="00FA39F2">
      <w:pPr>
        <w:pStyle w:val="a3"/>
        <w:spacing w:before="240" w:after="0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6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одтверждени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администратором органа </w:t>
      </w:r>
      <w:proofErr w:type="gramStart"/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контроля включения записей перечня субъектов контроля</w:t>
      </w:r>
      <w:proofErr w:type="gramEnd"/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 субъектов контроля и их исключения из состава субъектов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путем проставления «галочки» в «признак включения» напротив соответствующего субъекта контроля;</w:t>
      </w:r>
    </w:p>
    <w:p w:rsidR="00FA39F2" w:rsidRPr="00F55456" w:rsidRDefault="00FA39F2" w:rsidP="00FA39F2">
      <w:pPr>
        <w:pStyle w:val="a3"/>
        <w:spacing w:after="0" w:line="240" w:lineRule="auto"/>
        <w:ind w:left="0"/>
        <w:jc w:val="both"/>
        <w:rPr>
          <w:sz w:val="10"/>
        </w:rPr>
      </w:pP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Pr="006E2373" w:rsidRDefault="00FA39F2" w:rsidP="00F31418">
            <w:pPr>
              <w:pStyle w:val="a3"/>
              <w:keepNext/>
              <w:keepLines/>
              <w:ind w:left="0"/>
              <w:contextualSpacing w:val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lastRenderedPageBreak/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В Личном кабинете органа контроля осуществляется </w:t>
            </w:r>
            <w:r w:rsidRPr="007548AF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автоматическая проверка, запрещающая включение заказчика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в состав субъектов контроля в случае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,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если данный </w:t>
            </w:r>
            <w:r w:rsidRPr="007548AF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заказчик включен ранее</w:t>
            </w:r>
            <w:r w:rsidRPr="007548AF">
              <w:rPr>
                <w:rFonts w:ascii="Arial Black" w:eastAsia="Calibri" w:hAnsi="Arial Black" w:cs="Times New Roman"/>
                <w:color w:val="C00000"/>
                <w:sz w:val="20"/>
                <w:szCs w:val="20"/>
                <w:lang w:eastAsia="ru-RU"/>
              </w:rPr>
              <w:t xml:space="preserve"> 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в состав субъектов контроля </w:t>
            </w:r>
            <w:r w:rsidRPr="007548AF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другим органом контроля</w:t>
            </w:r>
            <w:r w:rsidRPr="007548AF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, с отображением соответствующего сообщения</w:t>
            </w:r>
          </w:p>
        </w:tc>
      </w:tr>
    </w:tbl>
    <w:p w:rsidR="00FA39F2" w:rsidRPr="00F55456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4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39F2" w:rsidRDefault="00FA39F2" w:rsidP="00FA39F2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7.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Указание организации,</w:t>
      </w:r>
      <w:r w:rsidRPr="00BD5F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(муниципального)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заказчика в соответствии с частью 6 статьи 15 Фе</w:t>
      </w:r>
      <w:r w:rsidR="00017F6B">
        <w:rPr>
          <w:rFonts w:ascii="Times New Roman" w:eastAsia="Calibri" w:hAnsi="Times New Roman" w:cs="Times New Roman"/>
          <w:sz w:val="28"/>
          <w:szCs w:val="28"/>
          <w:lang w:eastAsia="ru-RU"/>
        </w:rPr>
        <w:t>дерального закона № 44-ФЗ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путем отбора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таких организаций по ИНН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и/или наименованию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списка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организаций, включенных в Сводный реестр 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указанием соответствующего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государственного (муниципального) заказчика,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имеющ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несколько лицевых счетов, открыт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ых в ТОФК и начинающихся с «14».</w:t>
      </w:r>
      <w:proofErr w:type="gramEnd"/>
    </w:p>
    <w:p w:rsidR="00FA39F2" w:rsidRDefault="00FA39F2" w:rsidP="00FA39F2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Подтверждение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администратором органа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включения записи о субъекте контроля в перечень субъектов контроля в отношении заказчиков,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имеющ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их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несколько лицевых счетов, открытых в ТОФК и начинающихся с «14»,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в отношении каждой такой записи после выбора организации,</w:t>
      </w:r>
      <w:r w:rsidRPr="00BD5F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осуществляющ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полномочия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(муниципального) </w:t>
      </w:r>
      <w:r w:rsidRPr="008C30E9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заказчика в соответствии с частью 6 статьи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 Федерального закона № 44-ФЗ.</w:t>
      </w:r>
      <w:proofErr w:type="gramEnd"/>
    </w:p>
    <w:p w:rsidR="00FA39F2" w:rsidRDefault="00FA39F2" w:rsidP="00FA39F2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9. Возможность </w:t>
      </w:r>
      <w:r w:rsidRPr="00796EF0">
        <w:rPr>
          <w:rFonts w:ascii="Times New Roman" w:eastAsia="Calibri" w:hAnsi="Times New Roman" w:cs="Times New Roman"/>
          <w:sz w:val="28"/>
          <w:szCs w:val="28"/>
          <w:lang w:eastAsia="ru-RU"/>
        </w:rPr>
        <w:t>просмотра журнала операций пользователя, формируемого автоматически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1A4C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отображением событий о создании, внесении изменений в перечень субъектов контроля, указания ОПЗ для заказчика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39F2" w:rsidRPr="00796EF0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39F2" w:rsidRPr="00024DE4" w:rsidRDefault="00FA39F2" w:rsidP="00FA39F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DE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Работа с объектами контроля</w:t>
      </w:r>
    </w:p>
    <w:p w:rsidR="00FA39F2" w:rsidRDefault="00FA39F2" w:rsidP="00FA39F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6F0A">
        <w:rPr>
          <w:rFonts w:ascii="Times New Roman" w:eastAsia="Calibri" w:hAnsi="Times New Roman" w:cs="Times New Roman"/>
          <w:sz w:val="28"/>
          <w:szCs w:val="28"/>
          <w:lang w:eastAsia="ru-RU"/>
        </w:rPr>
        <w:t>В личном кабинете органа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реализованы следующие функциональные возможности:</w:t>
      </w: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Автоматическая загрузка объектов контроля, после проверки на соответствие форматам, из личного кабинета заказчика:</w:t>
      </w: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 сформированных и подписанных электронной подписью Заказчика в ПУЗ  ЭБ;</w:t>
      </w:r>
      <w:proofErr w:type="gramEnd"/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подписанных электронной подписью Заказчика в ЕИС;</w:t>
      </w: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загруженных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РМИС с электронной подписью Заказчика без уведомления о прохождении контроля.</w:t>
      </w:r>
    </w:p>
    <w:p w:rsidR="00FA39F2" w:rsidRDefault="00FA39F2" w:rsidP="00FA39F2">
      <w:pPr>
        <w:pStyle w:val="a3"/>
        <w:spacing w:after="0" w:line="240" w:lineRule="auto"/>
        <w:ind w:left="0"/>
        <w:jc w:val="both"/>
      </w:pP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Pr="006E2373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В случае</w:t>
            </w:r>
            <w:proofErr w:type="gram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,</w:t>
            </w:r>
            <w:proofErr w:type="gramEnd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если в </w:t>
            </w:r>
            <w:r w:rsidRPr="00906D88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РМИС реализован функционал по контролю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, предусмотренному </w:t>
            </w:r>
            <w:r w:rsidRPr="003C0F4E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частью 5 статьи 99 Федерального закона № 44-ФЗ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, </w:t>
            </w:r>
            <w:r w:rsidRPr="00906D88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объекты контроля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, сформированные и подписанные электронной подписью Заказчика, вместе </w:t>
            </w:r>
            <w:r w:rsidRPr="00906D88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с Уведомлением о соответствии контролируемой информации требованиям</w:t>
            </w:r>
            <w:r w:rsidRPr="00D93F4A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, установленным  частью 5 статьи 99 Закона № 44-ФЗ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при направлении на размещение в ЕИС, </w:t>
            </w:r>
            <w:r w:rsidRPr="00906D88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автоматически размеща</w:t>
            </w:r>
            <w:r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ю</w:t>
            </w:r>
            <w:r w:rsidRPr="00906D88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тся на официальном сайте ЕИС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.</w:t>
            </w:r>
          </w:p>
        </w:tc>
      </w:tr>
    </w:tbl>
    <w:p w:rsidR="00FA39F2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39F2" w:rsidRDefault="00FA39F2" w:rsidP="00FA39F2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ab/>
        <w:t xml:space="preserve">2. Автоматическое формирование и направление в личный кабинет Заказчика </w:t>
      </w:r>
      <w:r w:rsidRPr="00C7305A">
        <w:rPr>
          <w:rFonts w:ascii="Times New Roman" w:eastAsia="Calibri" w:hAnsi="Times New Roman" w:cs="Times New Roman"/>
          <w:sz w:val="28"/>
          <w:szCs w:val="28"/>
          <w:lang w:eastAsia="ru-RU"/>
        </w:rPr>
        <w:t>сообщени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C730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форме электронного документа о начале проведения контроля (в случае соответствия электронного документа форматам) или невозможности проведения контроля (в случае несоответствия электронного документа форматам)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объектов контроля, направляемых на размещение в ЕИС.</w:t>
      </w:r>
    </w:p>
    <w:p w:rsidR="00FA39F2" w:rsidRDefault="00FA39F2" w:rsidP="00FA39F2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Просмотр всех объектов, направленных на размещение в ЕИС, отфильтрованных по видам объектов контроля.</w:t>
      </w:r>
    </w:p>
    <w:p w:rsidR="00FA39F2" w:rsidRDefault="00FA39F2" w:rsidP="00FA39F2">
      <w:pPr>
        <w:pStyle w:val="a3"/>
        <w:keepNext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Просмотр статусов объектов с возможностью фильтрации по статусам:</w:t>
      </w:r>
    </w:p>
    <w:p w:rsidR="00FA39F2" w:rsidRDefault="00FA39F2" w:rsidP="00FA39F2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«на контроле»;</w:t>
      </w:r>
    </w:p>
    <w:p w:rsidR="00FA39F2" w:rsidRDefault="00FA39F2" w:rsidP="00FA39F2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«контроль пройден» (сформировано Уведомление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контролируемой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FA39F2" w:rsidRDefault="00FA39F2" w:rsidP="00FA39F2">
      <w:pPr>
        <w:pStyle w:val="a3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«контроль не пройден» (сформирован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о несоответствии  контролируемой 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5. Просмотр сформированных Уведомлений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контролируемой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несоответствии  контролируемой 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6. Просмотр срока осуществления контроля с возможностью фильтрации: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«и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стек срок проведения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«с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рок проведения контроля истекает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- 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«необходимо подписа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ть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протокол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/уведомление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7. Поиск объекта контроля по 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реквизитам заказчика (субъекта контроля)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по ИКЗ, по ОПЗ с возможностью соответствующей фильтрации;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8.  Выбор 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 контроля, подлежащего контролю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формирования результатов контроля.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39F2" w:rsidRPr="00024DE4" w:rsidRDefault="00FA39F2" w:rsidP="00FA39F2">
      <w:pPr>
        <w:pStyle w:val="a3"/>
        <w:pageBreakBefore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DE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24DE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Формирование результатов контроля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1. Автоматическое заполнение 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кумента, содержащего информацию для осуществления контроля, при контроле: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ПГЗ на ПЗ;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Извещения (документации) на ПГЗ;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Протокола на Извещение;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 Сведений, включенных в Реестр контрактов, на условия Контракта;</w:t>
      </w:r>
    </w:p>
    <w:p w:rsidR="00FA39F2" w:rsidRDefault="00FA39F2" w:rsidP="00FA39F2">
      <w:pPr>
        <w:pStyle w:val="a3"/>
        <w:keepNext/>
        <w:spacing w:after="240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 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>Ука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зание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реквизит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5943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кумента, содержащего информацию</w:t>
      </w:r>
      <w:r w:rsidRPr="00B804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для осуществления контроля, в случае отсутствия автоматически заполненных реквизитов.</w:t>
      </w: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Default="00FA39F2" w:rsidP="00F31418">
            <w:pPr>
              <w:pStyle w:val="a3"/>
              <w:spacing w:before="240"/>
              <w:ind w:left="0"/>
              <w:jc w:val="both"/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>!</w:t>
            </w:r>
            <w:r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>Р</w:t>
            </w:r>
            <w:r w:rsidRPr="0043643C"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>еквизит</w:t>
            </w:r>
            <w:r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>ы</w:t>
            </w:r>
            <w:r w:rsidRPr="0043643C"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 xml:space="preserve"> документа, содержащего информацию для осуществления контроля</w:t>
            </w:r>
            <w:r w:rsidR="00FB2DBD"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>,</w:t>
            </w:r>
            <w:r w:rsidRPr="0043643C"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 xml:space="preserve"> ВСЕГДА указываются пользователем:</w:t>
            </w:r>
          </w:p>
          <w:p w:rsidR="00FA39F2" w:rsidRDefault="00FA39F2" w:rsidP="00F31418">
            <w:pPr>
              <w:pStyle w:val="a3"/>
              <w:spacing w:before="240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- при контроле плана закупок;</w:t>
            </w:r>
          </w:p>
          <w:p w:rsidR="00FA39F2" w:rsidRPr="006E2373" w:rsidRDefault="00FA39F2" w:rsidP="00F31418">
            <w:pPr>
              <w:pStyle w:val="a3"/>
              <w:spacing w:before="240"/>
              <w:ind w:left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  - при контроле Извещения об осуществлении закупки, сформированного на основании позиции плана-графика закупок, </w:t>
            </w:r>
            <w:r w:rsidRPr="00DA2DB9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содержащ</w:t>
            </w:r>
            <w:r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его</w:t>
            </w:r>
            <w:r w:rsidRPr="00DA2DB9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 xml:space="preserve"> сведения, составляющие государственную тайну.</w:t>
            </w:r>
          </w:p>
        </w:tc>
      </w:tr>
    </w:tbl>
    <w:p w:rsidR="00FA39F2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3. Автоматическое формирование результатов контроля ИКЗ и Сумм финансового обеспечения закупок, включенных в объект контроля,</w:t>
      </w:r>
      <w:r w:rsidRPr="00F00A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осуществлении контроля.</w:t>
      </w:r>
    </w:p>
    <w:p w:rsidR="00FA39F2" w:rsidRDefault="00FA39F2" w:rsidP="00FA39F2">
      <w:pPr>
        <w:pStyle w:val="a3"/>
        <w:spacing w:after="0" w:line="240" w:lineRule="auto"/>
        <w:ind w:left="0"/>
        <w:jc w:val="both"/>
      </w:pP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 w:rsidRPr="00B2081C"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>ОБРАЩАЕМ ВНИМАНИЕ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, что в приведенных ниже случаях системой автоматически присваивается статус </w:t>
            </w:r>
            <w:r w:rsidRPr="00E00AEB">
              <w:rPr>
                <w:rFonts w:ascii="Arial Black" w:eastAsia="Calibri" w:hAnsi="Arial Black" w:cs="Times New Roman"/>
                <w:color w:val="C00000"/>
                <w:sz w:val="20"/>
                <w:szCs w:val="20"/>
                <w:lang w:eastAsia="ru-RU"/>
              </w:rPr>
              <w:t>«контроль</w:t>
            </w:r>
            <w:r>
              <w:rPr>
                <w:rFonts w:ascii="Arial Black" w:eastAsia="Calibri" w:hAnsi="Arial Black" w:cs="Times New Roman"/>
                <w:color w:val="C00000"/>
                <w:sz w:val="20"/>
                <w:szCs w:val="20"/>
                <w:lang w:eastAsia="ru-RU"/>
              </w:rPr>
              <w:t xml:space="preserve"> НЕ</w:t>
            </w:r>
            <w:r w:rsidRPr="00E00AEB">
              <w:rPr>
                <w:rFonts w:ascii="Arial Black" w:eastAsia="Calibri" w:hAnsi="Arial Black" w:cs="Times New Roman"/>
                <w:color w:val="C00000"/>
                <w:sz w:val="20"/>
                <w:szCs w:val="20"/>
                <w:lang w:eastAsia="ru-RU"/>
              </w:rPr>
              <w:t xml:space="preserve"> пройден»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:</w:t>
            </w:r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- При контроле ПЗ, содержащих </w:t>
            </w:r>
            <w:r w:rsidRPr="00CB127C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информацию об  объеме финансового обеспечения на осуществлени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е</w:t>
            </w:r>
            <w:r w:rsidRPr="00CB127C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закупок, выходящего за пределы планового период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а;</w:t>
            </w:r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- При контроле сведений, подлежащих включению в Реестр контрактов, на условия контракта;</w:t>
            </w:r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- При контроле Извещений на ПГЗ, </w:t>
            </w:r>
            <w:proofErr w:type="gram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содержащий</w:t>
            </w:r>
            <w:proofErr w:type="gramEnd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сведения, составляющие государственную тайну;</w:t>
            </w:r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- </w:t>
            </w:r>
            <w:r w:rsidRPr="000E6F69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 xml:space="preserve">До завершения реализации интеграции </w:t>
            </w:r>
            <w:proofErr w:type="gramStart"/>
            <w:r w:rsidRPr="000E6F69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с</w:t>
            </w:r>
            <w:proofErr w:type="gramEnd"/>
            <w:r w:rsidRPr="000E6F69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6F69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>АС</w:t>
            </w:r>
            <w:proofErr w:type="gramEnd"/>
            <w:r w:rsidRPr="000E6F69">
              <w:rPr>
                <w:rFonts w:ascii="Arial Black" w:eastAsia="Calibri" w:hAnsi="Arial Black" w:cs="Times New Roman"/>
                <w:i/>
                <w:color w:val="C00000"/>
                <w:sz w:val="20"/>
                <w:szCs w:val="20"/>
                <w:lang w:eastAsia="ru-RU"/>
              </w:rPr>
              <w:t xml:space="preserve"> ФК и порталом ГМУ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при контроле ПЗ;</w:t>
            </w:r>
          </w:p>
          <w:p w:rsidR="00FA39F2" w:rsidRPr="006E2373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- </w:t>
            </w:r>
            <w:r w:rsidRPr="000E6F69">
              <w:rPr>
                <w:rFonts w:ascii="Arial Black" w:eastAsia="Calibri" w:hAnsi="Arial Black" w:cs="Times New Roman"/>
                <w:b/>
                <w:i/>
                <w:color w:val="C00000"/>
                <w:sz w:val="20"/>
                <w:szCs w:val="20"/>
                <w:lang w:eastAsia="ru-RU"/>
              </w:rPr>
              <w:t>До завершения реализации интеграции с ПУР ЭБ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при контроле Извещений, сформированных Заказчиками, являющимися получателями бюджетных средств федерального бюджета.</w:t>
            </w:r>
          </w:p>
        </w:tc>
      </w:tr>
    </w:tbl>
    <w:p w:rsidR="00FA39F2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4. Изменение автоматически сформированных результатов контроля  </w:t>
      </w:r>
      <w:r w:rsidRPr="0057203D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уполномоченным специалистом органа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результатам визуального контроля элементов контролируемой информации в составе объекта контроля</w:t>
      </w:r>
      <w:r w:rsidRPr="00767FF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39F2" w:rsidRDefault="00FA39F2" w:rsidP="00FA39F2">
      <w:pPr>
        <w:pStyle w:val="a3"/>
        <w:spacing w:after="0" w:line="240" w:lineRule="auto"/>
        <w:ind w:left="0"/>
        <w:jc w:val="both"/>
      </w:pP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lastRenderedPageBreak/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 w:rsidRPr="00C6520E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1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) В целях визуального контроля ПЗ Заказчика, являющегося получателем бюджетных средств, лицевые счета которого открыты в ТОФК, до завершения реализации интеграции с АС ФК, необходимо получить отчет о свободных остатках ЛБО </w:t>
            </w:r>
            <w:proofErr w:type="gram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из</w:t>
            </w:r>
            <w:proofErr w:type="gramEnd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АС ФК (через СУФД);</w:t>
            </w:r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C6520E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C6520E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2)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В целях визуального контроля ПЗ, содержащих </w:t>
            </w:r>
            <w:r w:rsidRPr="00CB127C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информацию об  объеме финансового обеспечения на осуществления закупок, выходящего за пределы планового период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а, необходимо получить от Заказчика сведения об НПА, по форме, определенной приказом</w:t>
            </w:r>
            <w:r w:rsidRPr="00760BCE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Министерства Финансов Российской Федерации от 04.07.2016 № 104н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(или иной форме, определенной порядком взаимодействия финансового органа (органа управления государственным внебюджетным фондом) с субъектом контроля</w:t>
            </w:r>
            <w:r w:rsidRPr="00760BCE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)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;</w:t>
            </w:r>
            <w:proofErr w:type="gramEnd"/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    </w:t>
            </w:r>
            <w:proofErr w:type="gram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3) При визуальном контроле ПЗ Заказчика, являющегося бюджетным учреждением, автономным учреждением, необходимо провести проверку на соответствие </w:t>
            </w:r>
            <w:r w:rsidRPr="00CB127C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объем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а</w:t>
            </w:r>
            <w:r w:rsidRPr="00CB127C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финансового обеспечения на осуществления закупок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, отраженного в ПЗ, </w:t>
            </w:r>
            <w:r w:rsidRPr="00D9759B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расходам на закупку товаров, работ, услуг, осуществляемых в соответствии с Законом № 44-ФЗ, отраженны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м</w:t>
            </w:r>
            <w:r w:rsidRPr="00D9759B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в строке 2001 по графам 7, 8 и 9  таблицы 2.1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ПФХД, размещенного на сайте ГМУ, либо представленного Заказчиком на бумажном носителе;</w:t>
            </w:r>
            <w:proofErr w:type="gramEnd"/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4) При визуальном контроле сведений, подлежащих включению в Реестр контрактов, необходимо помимо ИКЗ и </w:t>
            </w:r>
            <w:r w:rsidRPr="006E0721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цены контракта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осуществить проверку, предусмотренную </w:t>
            </w:r>
            <w:proofErr w:type="spell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. «в» п.14 </w:t>
            </w:r>
            <w:r w:rsidRPr="006679BB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Правил ведения РК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, утвержденных Постановлением</w:t>
            </w:r>
            <w:r w:rsidRPr="00744AB8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№ 1084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;</w:t>
            </w:r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 w:rsidRPr="00B2081C"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>ОБРАЩАЕМ ВНИМАНИЕ</w:t>
            </w:r>
            <w:r>
              <w:rPr>
                <w:rFonts w:ascii="Arial Black" w:eastAsia="Calibri" w:hAnsi="Arial Black" w:cs="Times New Roman"/>
                <w:b/>
                <w:color w:val="C00000"/>
                <w:sz w:val="20"/>
                <w:szCs w:val="20"/>
                <w:lang w:eastAsia="ru-RU"/>
              </w:rPr>
              <w:t>, что сведения, подлежащие включению в РК по контрактам, заключенным в 2017 году по результатам процедур, объявленных в 2016 году, не содержат ИКЗ</w:t>
            </w:r>
          </w:p>
          <w:p w:rsidR="00FA39F2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</w:pPr>
            <w:r w:rsidRPr="003742A2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5) 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В целях визуального контроля Извещений, сформированных Заказчиками, являющимися получателями бюджетных средств федерального бюджета, должен быть проведен контроль на соответствие Извещения </w:t>
            </w:r>
            <w:proofErr w:type="gram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принимаемому</w:t>
            </w:r>
            <w:proofErr w:type="gramEnd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 xml:space="preserve"> БО. </w:t>
            </w:r>
            <w:proofErr w:type="gram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Аналогичный контроль может быть проведен в отношении Извещений, сформированных Заказчиками, являющимися получателями бюджетных средств бюджетов субъектов РФ (местных бюджетов), в случае, если данный контроль предусмотрен соответствующими региональными (муниципальными) НПА;</w:t>
            </w:r>
            <w:proofErr w:type="gramEnd"/>
          </w:p>
          <w:p w:rsidR="00FA39F2" w:rsidRPr="006E2373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6) При визуальном контроле Извещений, сформированных на основании ПГЗ, содержащего сведения, составляющие государственную тайну, должна быть проведена проверка соответствия ИКЗ и НМЦК, указанных в Извещении, на ИКЗ и НМЦК, указанные в ПГЗ, предоставленном в орган контроля с соблюдением требований законодательства о защите государственной тайны.</w:t>
            </w:r>
            <w:proofErr w:type="gramEnd"/>
          </w:p>
        </w:tc>
      </w:tr>
    </w:tbl>
    <w:p w:rsidR="00FA39F2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5. Указание </w:t>
      </w:r>
      <w:r w:rsidRPr="003D5153">
        <w:rPr>
          <w:rFonts w:ascii="Times New Roman" w:eastAsia="Calibri" w:hAnsi="Times New Roman" w:cs="Times New Roman"/>
          <w:sz w:val="28"/>
          <w:szCs w:val="28"/>
          <w:lang w:eastAsia="ru-RU"/>
        </w:rPr>
        <w:t>комментари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D5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результатам проведенного контроля в отношении отдельных элементов контролируемой информации (при необходимости).</w:t>
      </w:r>
    </w:p>
    <w:p w:rsidR="00FA39F2" w:rsidRDefault="00FA39F2" w:rsidP="00FA39F2">
      <w:pPr>
        <w:pStyle w:val="a3"/>
        <w:keepNext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6. Автоматическое присвоение статуса контроля по результатам проведенного контроля объекта контроля:</w:t>
      </w:r>
    </w:p>
    <w:p w:rsidR="00FA39F2" w:rsidRDefault="00FA39F2" w:rsidP="00FA39F2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присвоение статуса «контроль пройден» в случае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A39F2" w:rsidRDefault="00FA39F2" w:rsidP="00FA39F2">
      <w:pPr>
        <w:pStyle w:val="a3"/>
        <w:keepLines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присвоение статуса «контроль не пройден» в случае, когда хотя бы один элемент контролируемой информации в составе объекта контроля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ует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39F2" w:rsidRDefault="00FA39F2" w:rsidP="00FA39F2">
      <w:pPr>
        <w:pStyle w:val="a3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Указание </w:t>
      </w:r>
      <w:r w:rsidRPr="003D5153">
        <w:rPr>
          <w:rFonts w:ascii="Times New Roman" w:eastAsia="Calibri" w:hAnsi="Times New Roman" w:cs="Times New Roman"/>
          <w:sz w:val="28"/>
          <w:szCs w:val="28"/>
          <w:lang w:eastAsia="ru-RU"/>
        </w:rPr>
        <w:t>комментари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3D51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результатам проведенного контроля объекта контроля.</w:t>
      </w:r>
    </w:p>
    <w:p w:rsidR="00FA39F2" w:rsidRPr="00AC5106" w:rsidRDefault="00FA39F2" w:rsidP="00FA39F2">
      <w:pPr>
        <w:pStyle w:val="a3"/>
        <w:ind w:left="0" w:firstLine="708"/>
        <w:jc w:val="both"/>
        <w:rPr>
          <w:sz w:val="14"/>
        </w:rPr>
      </w:pPr>
    </w:p>
    <w:tbl>
      <w:tblPr>
        <w:tblStyle w:val="a5"/>
        <w:tblW w:w="0" w:type="auto"/>
        <w:tblBorders>
          <w:top w:val="dashSmallGap" w:sz="24" w:space="0" w:color="548DD4" w:themeColor="text2" w:themeTint="99"/>
          <w:left w:val="dashSmallGap" w:sz="24" w:space="0" w:color="548DD4" w:themeColor="text2" w:themeTint="99"/>
          <w:bottom w:val="dashSmallGap" w:sz="24" w:space="0" w:color="548DD4" w:themeColor="text2" w:themeTint="99"/>
          <w:right w:val="dashSmallGap" w:sz="24" w:space="0" w:color="548DD4" w:themeColor="text2" w:themeTint="99"/>
          <w:insideH w:val="dashSmallGap" w:sz="24" w:space="0" w:color="548DD4" w:themeColor="text2" w:themeTint="99"/>
          <w:insideV w:val="dashSmallGap" w:sz="2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37"/>
      </w:tblGrid>
      <w:tr w:rsidR="00FA39F2" w:rsidRPr="006E2373" w:rsidTr="00F31418">
        <w:tc>
          <w:tcPr>
            <w:tcW w:w="10137" w:type="dxa"/>
          </w:tcPr>
          <w:p w:rsidR="00FA39F2" w:rsidRPr="006E2373" w:rsidRDefault="00FA39F2" w:rsidP="00F31418">
            <w:pPr>
              <w:pStyle w:val="a3"/>
              <w:ind w:left="0"/>
              <w:jc w:val="both"/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</w:pPr>
            <w:r w:rsidRPr="006E2373">
              <w:rPr>
                <w:rFonts w:ascii="Arial Black" w:eastAsia="Calibri" w:hAnsi="Arial Black" w:cs="Times New Roman"/>
                <w:b/>
                <w:color w:val="C00000"/>
                <w:sz w:val="32"/>
                <w:szCs w:val="32"/>
                <w:lang w:eastAsia="ru-RU"/>
              </w:rPr>
              <w:t>!</w:t>
            </w:r>
            <w:r w:rsidRPr="006E2373">
              <w:rPr>
                <w:rFonts w:ascii="Arial Black" w:eastAsia="Calibri" w:hAnsi="Arial Black" w:cs="Times New Roman"/>
                <w:sz w:val="20"/>
                <w:szCs w:val="20"/>
                <w:lang w:eastAsia="ru-RU"/>
              </w:rPr>
              <w:t xml:space="preserve"> </w:t>
            </w:r>
            <w:r w:rsidRPr="00AC5106"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Обязательно в случае присвоения статуса «контроль не пройден</w:t>
            </w:r>
            <w:r>
              <w:rPr>
                <w:rFonts w:ascii="Arial Black" w:eastAsia="Calibri" w:hAnsi="Arial Black" w:cs="Times New Roman"/>
                <w:color w:val="548DD4" w:themeColor="text2" w:themeTint="99"/>
                <w:sz w:val="20"/>
                <w:szCs w:val="20"/>
                <w:lang w:eastAsia="ru-RU"/>
              </w:rPr>
              <w:t>»</w:t>
            </w:r>
          </w:p>
        </w:tc>
      </w:tr>
    </w:tbl>
    <w:p w:rsidR="00FA39F2" w:rsidRPr="00AC5106" w:rsidRDefault="00FA39F2" w:rsidP="00FA39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39F2" w:rsidRDefault="00FA39F2" w:rsidP="00FA39F2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8. Формирование проекта Уведомления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контролируемой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объекта контроля в статусе «контроль пройден».</w:t>
      </w:r>
    </w:p>
    <w:p w:rsidR="00FA39F2" w:rsidRDefault="00FA39F2" w:rsidP="00FA39F2">
      <w:pPr>
        <w:pStyle w:val="a3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Формирование проекта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несоответствии  контролируемой 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объекта контроля в статусе «контроль не пройден».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10. Подписание электронной подписью </w:t>
      </w:r>
      <w:r w:rsidRPr="0057203D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Pr="00572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720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органа контроля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Уведомления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контролируемой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несоответствии  контролируемой 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11. Автоматическое направление результатов контроля (Уведомления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контролируемой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Протокола</w:t>
      </w:r>
      <w:r w:rsidRPr="00C32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о несоответствии  контролируемой 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в Личный кабинет заказчика.</w:t>
      </w:r>
    </w:p>
    <w:p w:rsidR="00FA39F2" w:rsidRDefault="00FA39F2" w:rsidP="00FA39F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12. Автоматическое направление на размещение одновременно с объектом контроля Уведомления </w:t>
      </w:r>
      <w:r w:rsidRPr="001D6DF0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контролируемой информации требованиям, установленным  частью 5 статьи 99 Закона № 44-ФЗ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на официальный сайт ЕИС.</w:t>
      </w:r>
    </w:p>
    <w:p w:rsidR="00FA39F2" w:rsidRDefault="00FA39F2" w:rsidP="00FA39F2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A39F2" w:rsidRDefault="00FA39F2" w:rsidP="00FA39F2">
      <w:pPr>
        <w:pStyle w:val="a3"/>
        <w:pageBreakBefore/>
        <w:spacing w:after="0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D533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Особенности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функциональных возможностей Личного кабинета для ТОФК</w:t>
      </w:r>
    </w:p>
    <w:p w:rsidR="00FA39F2" w:rsidRDefault="00FA39F2" w:rsidP="00FA39F2">
      <w:pPr>
        <w:pStyle w:val="a3"/>
        <w:spacing w:after="0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передаче полномочий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контролю в Личном кабинете органа контроля, являющегося ТОФК, существуют следующие дополнительные функции:</w:t>
      </w:r>
    </w:p>
    <w:p w:rsidR="00FA39F2" w:rsidRDefault="00FA39F2" w:rsidP="00FA39F2">
      <w:pPr>
        <w:pStyle w:val="2"/>
        <w:numPr>
          <w:ilvl w:val="0"/>
          <w:numId w:val="0"/>
        </w:numPr>
        <w:tabs>
          <w:tab w:val="clear" w:pos="1134"/>
          <w:tab w:val="left" w:pos="916"/>
        </w:tabs>
        <w:spacing w:line="276" w:lineRule="auto"/>
      </w:pPr>
      <w:r>
        <w:tab/>
      </w:r>
      <w:r w:rsidRPr="001E5220">
        <w:t>1.</w:t>
      </w:r>
      <w:r>
        <w:rPr>
          <w:b/>
          <w:sz w:val="24"/>
          <w:szCs w:val="24"/>
        </w:rPr>
        <w:t xml:space="preserve"> </w:t>
      </w:r>
      <w:r>
        <w:t>Просмотр и поиск субъектов контроля п</w:t>
      </w:r>
      <w:r w:rsidRPr="00FA77AB">
        <w:t xml:space="preserve">о наименованию организации или ИНН организации. </w:t>
      </w:r>
      <w:proofErr w:type="gramStart"/>
      <w:r w:rsidRPr="00FA77AB">
        <w:t xml:space="preserve">В перечне субъектов, отображаемом для ТОФК, </w:t>
      </w:r>
      <w:r>
        <w:t>существует</w:t>
      </w:r>
      <w:r w:rsidRPr="00FA77AB">
        <w:t xml:space="preserve"> возможность фильтрации списка по записям заказчиков, являющихся субъектами контроля данного ТОФК, </w:t>
      </w:r>
      <w:r>
        <w:t xml:space="preserve">а также </w:t>
      </w:r>
      <w:r w:rsidRPr="00FA77AB">
        <w:t>записям заказчиков, в отношении которых финансовыми органами, органами управления государственными внебюджетными фондами полномочия по контролю переданы данному ТОФК</w:t>
      </w:r>
      <w:r>
        <w:t xml:space="preserve">. </w:t>
      </w:r>
      <w:proofErr w:type="gramEnd"/>
    </w:p>
    <w:p w:rsidR="00FA39F2" w:rsidRDefault="00FA39F2" w:rsidP="00FA39F2">
      <w:pPr>
        <w:pStyle w:val="2"/>
        <w:keepNext/>
        <w:numPr>
          <w:ilvl w:val="0"/>
          <w:numId w:val="0"/>
        </w:numPr>
        <w:tabs>
          <w:tab w:val="clear" w:pos="1134"/>
          <w:tab w:val="left" w:pos="916"/>
        </w:tabs>
        <w:spacing w:before="240" w:after="240"/>
        <w:rPr>
          <w:rFonts w:ascii="Arial Black" w:hAnsi="Arial Black"/>
          <w:color w:val="548DD4" w:themeColor="text2" w:themeTint="99"/>
          <w:sz w:val="20"/>
          <w:szCs w:val="20"/>
        </w:rPr>
      </w:pPr>
      <w:r w:rsidRPr="008A6D8F">
        <w:tab/>
      </w:r>
      <w:r w:rsidRPr="00416D8F">
        <w:rPr>
          <w:rFonts w:ascii="Arial Black" w:hAnsi="Arial Black"/>
          <w:color w:val="548DD4" w:themeColor="text2" w:themeTint="99"/>
          <w:sz w:val="20"/>
          <w:szCs w:val="20"/>
        </w:rPr>
        <w:t>Рисунок 1</w:t>
      </w:r>
      <w:r>
        <w:rPr>
          <w:rFonts w:ascii="Arial Black" w:hAnsi="Arial Black"/>
          <w:color w:val="548DD4" w:themeColor="text2" w:themeTint="99"/>
          <w:sz w:val="20"/>
          <w:szCs w:val="20"/>
        </w:rPr>
        <w:t xml:space="preserve"> </w:t>
      </w:r>
      <w:r w:rsidRPr="00416D8F">
        <w:rPr>
          <w:rFonts w:ascii="Arial Black" w:hAnsi="Arial Black"/>
          <w:color w:val="548DD4" w:themeColor="text2" w:themeTint="99"/>
          <w:sz w:val="20"/>
          <w:szCs w:val="20"/>
        </w:rPr>
        <w:t>- Отображение табличного списка субъектов контроля для органа контроля, являющегося ТОФК</w:t>
      </w:r>
      <w:r>
        <w:rPr>
          <w:rFonts w:ascii="Arial Black" w:hAnsi="Arial Black"/>
          <w:color w:val="548DD4" w:themeColor="text2" w:themeTint="99"/>
          <w:sz w:val="20"/>
          <w:szCs w:val="20"/>
        </w:rPr>
        <w:t>:</w:t>
      </w:r>
    </w:p>
    <w:p w:rsidR="00FA39F2" w:rsidRDefault="00FA39F2" w:rsidP="00FA39F2">
      <w:pPr>
        <w:pStyle w:val="a3"/>
        <w:spacing w:after="0" w:line="240" w:lineRule="auto"/>
        <w:ind w:left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21F33" wp14:editId="12B3C0C5">
                <wp:simplePos x="0" y="0"/>
                <wp:positionH relativeFrom="column">
                  <wp:posOffset>453102</wp:posOffset>
                </wp:positionH>
                <wp:positionV relativeFrom="paragraph">
                  <wp:posOffset>658747</wp:posOffset>
                </wp:positionV>
                <wp:extent cx="2475782" cy="474452"/>
                <wp:effectExtent l="0" t="0" r="2032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782" cy="474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5.7pt;margin-top:51.85pt;width:194.95pt;height:3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" filled="f" strokecolor="#c00000" strokeweight="2pt"/>
            </w:pict>
          </mc:Fallback>
        </mc:AlternateContent>
      </w:r>
      <w:r>
        <w:object w:dxaOrig="21089" w:dyaOrig="12967">
          <v:shape id="_x0000_i1026" type="#_x0000_t75" style="width:507.2pt;height:311.85pt" o:ole="">
            <v:imagedata r:id="rId14" o:title=""/>
          </v:shape>
          <o:OLEObject Type="Embed" ProgID="Visio.Drawing.15" ShapeID="_x0000_i1026" DrawAspect="Content" ObjectID="_1545738772" r:id="rId15"/>
        </w:object>
      </w: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Просмотр автоматически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>переч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ня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финансовых органов и органов управления государственными внебюджетными фондами на основании сведений Сводного реестра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случаях:</w:t>
      </w: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обслуживания финансового органа, органа управления государственным внебюджетным фондом в </w:t>
      </w:r>
      <w:proofErr w:type="gramStart"/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>данном</w:t>
      </w:r>
      <w:proofErr w:type="gramEnd"/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ТОФК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о</w:t>
      </w:r>
      <w:r w:rsidRPr="003C2731">
        <w:rPr>
          <w:rFonts w:ascii="Times New Roman" w:eastAsia="Calibri" w:hAnsi="Times New Roman" w:cs="Times New Roman"/>
          <w:sz w:val="28"/>
          <w:szCs w:val="28"/>
          <w:lang w:eastAsia="ru-RU"/>
        </w:rPr>
        <w:t>тсутстви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в 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>Сводно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C438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реестр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C27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финансового органа, органа управления государственным внебюджетным фондом полномочия в сфере закупок «орган, </w:t>
      </w:r>
      <w:r w:rsidRPr="003C273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уполномоченный на осуществление контроля в соответствии с ч. 5 ст. 99 Федерального закона 44-ФЗ»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39F2" w:rsidRDefault="00FA39F2" w:rsidP="00FA39F2">
      <w:pPr>
        <w:pStyle w:val="a3"/>
        <w:spacing w:after="0" w:line="240" w:lineRule="auto"/>
        <w:ind w:left="0" w:firstLine="708"/>
        <w:jc w:val="both"/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</w:pPr>
    </w:p>
    <w:p w:rsidR="00FA39F2" w:rsidRPr="0072636B" w:rsidRDefault="00FA39F2" w:rsidP="00FA39F2">
      <w:pPr>
        <w:pStyle w:val="a3"/>
        <w:keepNext/>
        <w:spacing w:before="240" w:after="240" w:line="240" w:lineRule="auto"/>
        <w:ind w:left="0" w:firstLine="709"/>
        <w:jc w:val="both"/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</w:pPr>
      <w:r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 xml:space="preserve">Рисунок 3 </w:t>
      </w:r>
      <w:r w:rsidRPr="00416D8F"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 xml:space="preserve">- </w:t>
      </w:r>
      <w:r w:rsidRPr="0072636B"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>Отображение перечня финансовых органов и органов управления государственными внебюджетными фондами, передавших полномочия по контролю в ТОФК</w:t>
      </w:r>
      <w:r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>:</w:t>
      </w:r>
    </w:p>
    <w:p w:rsidR="00FA39F2" w:rsidRPr="0072636B" w:rsidRDefault="00FA39F2" w:rsidP="00FA39F2">
      <w:pPr>
        <w:spacing w:after="0" w:line="240" w:lineRule="auto"/>
        <w:jc w:val="both"/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</w:pPr>
      <w:r>
        <w:object w:dxaOrig="14659" w:dyaOrig="5858">
          <v:shape id="_x0000_i1027" type="#_x0000_t75" style="width:497.65pt;height:198.9pt" o:ole="">
            <v:imagedata r:id="rId16" o:title=""/>
          </v:shape>
          <o:OLEObject Type="Embed" ProgID="Visio.Drawing.15" ShapeID="_x0000_i1027" DrawAspect="Content" ObjectID="_1545738773" r:id="rId17"/>
        </w:object>
      </w:r>
    </w:p>
    <w:p w:rsidR="00FA39F2" w:rsidRDefault="00FA39F2" w:rsidP="00FA39F2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В</w:t>
      </w:r>
      <w:r w:rsidRPr="007263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озможность подтверждения администратором органа контроля, являющегося ТОФК, передачи финансовыми органами, органами управления государственными внебюджетными фондами, включенными в предварительный перечень, полномочий по </w:t>
      </w:r>
      <w:proofErr w:type="gramStart"/>
      <w:r w:rsidRPr="0072636B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</w:t>
      </w:r>
      <w:proofErr w:type="gramEnd"/>
      <w:r w:rsidRPr="007263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данному ТОФК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путем указания реквизитов соглашения о передаче соответствующих полномочий по контролю.</w:t>
      </w:r>
    </w:p>
    <w:p w:rsidR="00FA39F2" w:rsidRPr="0072636B" w:rsidRDefault="00FA39F2" w:rsidP="00FA39F2">
      <w:pPr>
        <w:pStyle w:val="a3"/>
        <w:keepNext/>
        <w:spacing w:before="240" w:after="240" w:line="240" w:lineRule="auto"/>
        <w:ind w:left="0" w:firstLine="709"/>
        <w:contextualSpacing w:val="0"/>
        <w:jc w:val="both"/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</w:pPr>
      <w:r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 xml:space="preserve">Рисунок 4 </w:t>
      </w:r>
      <w:r w:rsidRPr="00416D8F"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 xml:space="preserve">- </w:t>
      </w:r>
      <w:r w:rsidRPr="0072636B"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>Отображение формы подтверждения передачи полномочий по контролю финансовым органом, органом управления государственным внебюджетным фондом, с указанием реквизитов соглашения о передаче полномочий</w:t>
      </w:r>
      <w:r>
        <w:rPr>
          <w:rFonts w:ascii="Arial Black" w:eastAsia="Calibri" w:hAnsi="Arial Black" w:cs="Times New Roman"/>
          <w:color w:val="548DD4" w:themeColor="text2" w:themeTint="99"/>
          <w:sz w:val="20"/>
          <w:szCs w:val="20"/>
          <w:lang w:eastAsia="ru-RU"/>
        </w:rPr>
        <w:t>:</w:t>
      </w:r>
    </w:p>
    <w:p w:rsidR="00FA39F2" w:rsidRDefault="00FA39F2" w:rsidP="00FA39F2">
      <w:pPr>
        <w:pStyle w:val="a3"/>
        <w:spacing w:after="0" w:line="240" w:lineRule="auto"/>
        <w:ind w:left="0"/>
        <w:jc w:val="both"/>
      </w:pPr>
      <w:r>
        <w:object w:dxaOrig="9840" w:dyaOrig="3012">
          <v:shape id="_x0000_i1028" type="#_x0000_t75" style="width:493.95pt;height:150.75pt" o:ole="">
            <v:imagedata r:id="rId18" o:title=""/>
          </v:shape>
          <o:OLEObject Type="Embed" ProgID="Visio.Drawing.15" ShapeID="_x0000_i1028" DrawAspect="Content" ObjectID="_1545738774" r:id="rId19"/>
        </w:object>
      </w:r>
    </w:p>
    <w:p w:rsidR="00D53321" w:rsidRDefault="00D53321" w:rsidP="00FA39F2">
      <w:pPr>
        <w:pStyle w:val="a3"/>
        <w:ind w:left="0" w:firstLine="709"/>
        <w:jc w:val="both"/>
        <w:rPr>
          <w:rFonts w:ascii="Arial Black" w:hAnsi="Arial Black"/>
          <w:color w:val="548DD4" w:themeColor="text2" w:themeTint="99"/>
          <w:sz w:val="20"/>
          <w:szCs w:val="20"/>
        </w:rPr>
      </w:pPr>
    </w:p>
    <w:sectPr w:rsidR="00D53321" w:rsidSect="00805CF1">
      <w:footerReference w:type="default" r:id="rId2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BE" w:rsidRDefault="00172EBE" w:rsidP="008E67AE">
      <w:pPr>
        <w:spacing w:after="0" w:line="240" w:lineRule="auto"/>
      </w:pPr>
      <w:r>
        <w:separator/>
      </w:r>
    </w:p>
  </w:endnote>
  <w:endnote w:type="continuationSeparator" w:id="0">
    <w:p w:rsidR="00172EBE" w:rsidRDefault="00172EBE" w:rsidP="008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CD" w:rsidRDefault="00F611C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6A897" wp14:editId="572E509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611CD" w:rsidRDefault="00F611CD">
                          <w:pPr>
                            <w:pStyle w:val="a6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3E1782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15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:rsidR="00F611CD" w:rsidRDefault="00F611CD">
                    <w:pPr>
                      <w:pStyle w:val="a6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3E1782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15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6D5AEDB" wp14:editId="6EA1DBC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BE" w:rsidRDefault="00172EBE" w:rsidP="008E67AE">
      <w:pPr>
        <w:spacing w:after="0" w:line="240" w:lineRule="auto"/>
      </w:pPr>
      <w:r>
        <w:separator/>
      </w:r>
    </w:p>
  </w:footnote>
  <w:footnote w:type="continuationSeparator" w:id="0">
    <w:p w:rsidR="00172EBE" w:rsidRDefault="00172EBE" w:rsidP="008E67AE">
      <w:pPr>
        <w:spacing w:after="0" w:line="240" w:lineRule="auto"/>
      </w:pPr>
      <w:r>
        <w:continuationSeparator/>
      </w:r>
    </w:p>
  </w:footnote>
  <w:footnote w:id="1">
    <w:p w:rsidR="00FA39F2" w:rsidRPr="008E67AE" w:rsidRDefault="00FA39F2" w:rsidP="00FA39F2">
      <w:pPr>
        <w:pStyle w:val="aa"/>
        <w:rPr>
          <w:rFonts w:ascii="Times New Roman" w:hAnsi="Times New Roman" w:cs="Times New Roman"/>
          <w:i/>
        </w:rPr>
      </w:pPr>
      <w:r w:rsidRPr="008E67AE">
        <w:rPr>
          <w:rStyle w:val="ac"/>
          <w:rFonts w:ascii="Times New Roman" w:hAnsi="Times New Roman" w:cs="Times New Roman"/>
          <w:i/>
        </w:rPr>
        <w:footnoteRef/>
      </w:r>
      <w:r w:rsidRPr="008E67AE">
        <w:rPr>
          <w:rFonts w:ascii="Times New Roman" w:hAnsi="Times New Roman" w:cs="Times New Roman"/>
          <w:i/>
        </w:rPr>
        <w:t xml:space="preserve"> </w:t>
      </w:r>
      <w:proofErr w:type="gramStart"/>
      <w:r w:rsidRPr="008E67AE">
        <w:rPr>
          <w:rFonts w:ascii="Times New Roman" w:hAnsi="Times New Roman" w:cs="Times New Roman"/>
          <w:i/>
        </w:rPr>
        <w:t>Особенности просмотра и поиска субъектов контроля</w:t>
      </w:r>
      <w:r w:rsidRPr="008E67AE">
        <w:rPr>
          <w:rFonts w:ascii="Times New Roman" w:eastAsia="Calibri" w:hAnsi="Times New Roman" w:cs="Times New Roman"/>
          <w:i/>
          <w:lang w:eastAsia="ru-RU"/>
        </w:rPr>
        <w:t xml:space="preserve">, в отношении которых финансовыми органами, органами управления государственными внебюджетными фондами полномочия по контролю переданы данному ТОФК приведены в разделе </w:t>
      </w:r>
      <w:r>
        <w:rPr>
          <w:rFonts w:ascii="Times New Roman" w:eastAsia="Calibri" w:hAnsi="Times New Roman" w:cs="Times New Roman"/>
          <w:i/>
          <w:lang w:val="en-US" w:eastAsia="ru-RU"/>
        </w:rPr>
        <w:t>IV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5343"/>
    <w:multiLevelType w:val="multilevel"/>
    <w:tmpl w:val="D9DEC66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D95ADD"/>
    <w:multiLevelType w:val="hybridMultilevel"/>
    <w:tmpl w:val="206AE19E"/>
    <w:lvl w:ilvl="0" w:tplc="CC687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E143B"/>
    <w:multiLevelType w:val="hybridMultilevel"/>
    <w:tmpl w:val="A56499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0CE9B6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453596"/>
    <w:multiLevelType w:val="hybridMultilevel"/>
    <w:tmpl w:val="58C63D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6537367"/>
    <w:multiLevelType w:val="hybridMultilevel"/>
    <w:tmpl w:val="652A5C8C"/>
    <w:lvl w:ilvl="0" w:tplc="979A90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ED4905"/>
    <w:multiLevelType w:val="hybridMultilevel"/>
    <w:tmpl w:val="09684E46"/>
    <w:lvl w:ilvl="0" w:tplc="3E20A8FA">
      <w:start w:val="1"/>
      <w:numFmt w:val="bullet"/>
      <w:pStyle w:val="10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FD4A9328">
      <w:start w:val="1"/>
      <w:numFmt w:val="bullet"/>
      <w:pStyle w:val="2"/>
      <w:lvlText w:val="−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2" w:tplc="AD1CB99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154733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B9279D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3DCAA1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2874C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50ACA1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E8648E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7A"/>
    <w:rsid w:val="000119B5"/>
    <w:rsid w:val="00013615"/>
    <w:rsid w:val="000166EF"/>
    <w:rsid w:val="00017F6B"/>
    <w:rsid w:val="00024DE4"/>
    <w:rsid w:val="00034316"/>
    <w:rsid w:val="00036147"/>
    <w:rsid w:val="0003780A"/>
    <w:rsid w:val="000557C7"/>
    <w:rsid w:val="0005589A"/>
    <w:rsid w:val="00065B1D"/>
    <w:rsid w:val="00070BE7"/>
    <w:rsid w:val="00081C4E"/>
    <w:rsid w:val="0009104E"/>
    <w:rsid w:val="00092860"/>
    <w:rsid w:val="000958BB"/>
    <w:rsid w:val="00096FC8"/>
    <w:rsid w:val="000B1178"/>
    <w:rsid w:val="000B325E"/>
    <w:rsid w:val="000B70FF"/>
    <w:rsid w:val="000B7DAC"/>
    <w:rsid w:val="000D0E42"/>
    <w:rsid w:val="000D4BA6"/>
    <w:rsid w:val="000E6F69"/>
    <w:rsid w:val="000E7693"/>
    <w:rsid w:val="000F03FD"/>
    <w:rsid w:val="00126B3C"/>
    <w:rsid w:val="0014211A"/>
    <w:rsid w:val="001552DA"/>
    <w:rsid w:val="00156F81"/>
    <w:rsid w:val="00172EBE"/>
    <w:rsid w:val="00187371"/>
    <w:rsid w:val="00191E7F"/>
    <w:rsid w:val="001A4723"/>
    <w:rsid w:val="001A4CCC"/>
    <w:rsid w:val="001A59D9"/>
    <w:rsid w:val="001B18CA"/>
    <w:rsid w:val="001B5807"/>
    <w:rsid w:val="001C2A55"/>
    <w:rsid w:val="001D3C42"/>
    <w:rsid w:val="001D3CD0"/>
    <w:rsid w:val="001D6DF0"/>
    <w:rsid w:val="001D772E"/>
    <w:rsid w:val="001E5220"/>
    <w:rsid w:val="00212DD9"/>
    <w:rsid w:val="00237975"/>
    <w:rsid w:val="00257957"/>
    <w:rsid w:val="00262629"/>
    <w:rsid w:val="002770E3"/>
    <w:rsid w:val="0027753B"/>
    <w:rsid w:val="00282BFE"/>
    <w:rsid w:val="002A0226"/>
    <w:rsid w:val="002A071B"/>
    <w:rsid w:val="002A1946"/>
    <w:rsid w:val="002A7633"/>
    <w:rsid w:val="002B648B"/>
    <w:rsid w:val="002D59CC"/>
    <w:rsid w:val="002D66A5"/>
    <w:rsid w:val="002D7AD0"/>
    <w:rsid w:val="002E295D"/>
    <w:rsid w:val="002E2B08"/>
    <w:rsid w:val="002F2B89"/>
    <w:rsid w:val="003123E6"/>
    <w:rsid w:val="0031654B"/>
    <w:rsid w:val="00333B95"/>
    <w:rsid w:val="00335D22"/>
    <w:rsid w:val="00343A30"/>
    <w:rsid w:val="003640F1"/>
    <w:rsid w:val="00367697"/>
    <w:rsid w:val="003742A2"/>
    <w:rsid w:val="003875A4"/>
    <w:rsid w:val="003C0F4E"/>
    <w:rsid w:val="003C2731"/>
    <w:rsid w:val="003C6BFD"/>
    <w:rsid w:val="003D0E91"/>
    <w:rsid w:val="003D5153"/>
    <w:rsid w:val="003E1782"/>
    <w:rsid w:val="00401185"/>
    <w:rsid w:val="004011FB"/>
    <w:rsid w:val="00413333"/>
    <w:rsid w:val="0041429F"/>
    <w:rsid w:val="00415AED"/>
    <w:rsid w:val="00416D8F"/>
    <w:rsid w:val="00423AB5"/>
    <w:rsid w:val="00425DD5"/>
    <w:rsid w:val="004261A5"/>
    <w:rsid w:val="00431969"/>
    <w:rsid w:val="004405CB"/>
    <w:rsid w:val="00470D3F"/>
    <w:rsid w:val="004747C2"/>
    <w:rsid w:val="004757CF"/>
    <w:rsid w:val="00494FB1"/>
    <w:rsid w:val="004C63B0"/>
    <w:rsid w:val="004D0314"/>
    <w:rsid w:val="004F4EA6"/>
    <w:rsid w:val="004F75D5"/>
    <w:rsid w:val="00503092"/>
    <w:rsid w:val="00515D00"/>
    <w:rsid w:val="0052206C"/>
    <w:rsid w:val="005305AC"/>
    <w:rsid w:val="005338C4"/>
    <w:rsid w:val="005368B8"/>
    <w:rsid w:val="00550BAC"/>
    <w:rsid w:val="00563A8B"/>
    <w:rsid w:val="00564F2A"/>
    <w:rsid w:val="0057203D"/>
    <w:rsid w:val="00572983"/>
    <w:rsid w:val="00580C4B"/>
    <w:rsid w:val="00594321"/>
    <w:rsid w:val="005A597D"/>
    <w:rsid w:val="005A65BB"/>
    <w:rsid w:val="005B04E4"/>
    <w:rsid w:val="005B7948"/>
    <w:rsid w:val="005D4849"/>
    <w:rsid w:val="005D60AD"/>
    <w:rsid w:val="005F32AC"/>
    <w:rsid w:val="005F7C1B"/>
    <w:rsid w:val="006118D8"/>
    <w:rsid w:val="0064241C"/>
    <w:rsid w:val="00652139"/>
    <w:rsid w:val="006607DE"/>
    <w:rsid w:val="00665303"/>
    <w:rsid w:val="006656C3"/>
    <w:rsid w:val="006679BB"/>
    <w:rsid w:val="006679C1"/>
    <w:rsid w:val="00674C0C"/>
    <w:rsid w:val="00682647"/>
    <w:rsid w:val="00682AE5"/>
    <w:rsid w:val="006A030E"/>
    <w:rsid w:val="006A6119"/>
    <w:rsid w:val="006B28D4"/>
    <w:rsid w:val="006B2FC1"/>
    <w:rsid w:val="006B6642"/>
    <w:rsid w:val="006C732F"/>
    <w:rsid w:val="006D04F8"/>
    <w:rsid w:val="006D469A"/>
    <w:rsid w:val="006E0721"/>
    <w:rsid w:val="006E12EF"/>
    <w:rsid w:val="006E2373"/>
    <w:rsid w:val="006E58B8"/>
    <w:rsid w:val="00717185"/>
    <w:rsid w:val="0072636B"/>
    <w:rsid w:val="007372EB"/>
    <w:rsid w:val="00737C05"/>
    <w:rsid w:val="00737EB3"/>
    <w:rsid w:val="00744AB8"/>
    <w:rsid w:val="007548AF"/>
    <w:rsid w:val="00760BCE"/>
    <w:rsid w:val="00767FF8"/>
    <w:rsid w:val="0078228E"/>
    <w:rsid w:val="00784AF8"/>
    <w:rsid w:val="00792E3D"/>
    <w:rsid w:val="00796EF0"/>
    <w:rsid w:val="007A18E3"/>
    <w:rsid w:val="007A6356"/>
    <w:rsid w:val="007B1CAD"/>
    <w:rsid w:val="007B560E"/>
    <w:rsid w:val="007C12BC"/>
    <w:rsid w:val="007C16F2"/>
    <w:rsid w:val="007C4E49"/>
    <w:rsid w:val="007D7731"/>
    <w:rsid w:val="007E4120"/>
    <w:rsid w:val="007E567E"/>
    <w:rsid w:val="007F4C47"/>
    <w:rsid w:val="007F7248"/>
    <w:rsid w:val="0080435E"/>
    <w:rsid w:val="008057CE"/>
    <w:rsid w:val="00805CF1"/>
    <w:rsid w:val="0081373A"/>
    <w:rsid w:val="00833FDD"/>
    <w:rsid w:val="00835A72"/>
    <w:rsid w:val="00847546"/>
    <w:rsid w:val="00847A94"/>
    <w:rsid w:val="00851A18"/>
    <w:rsid w:val="00857495"/>
    <w:rsid w:val="00861224"/>
    <w:rsid w:val="00861EB9"/>
    <w:rsid w:val="008642F6"/>
    <w:rsid w:val="00871C47"/>
    <w:rsid w:val="00872114"/>
    <w:rsid w:val="008914A7"/>
    <w:rsid w:val="00893746"/>
    <w:rsid w:val="008A0FC1"/>
    <w:rsid w:val="008A6D8F"/>
    <w:rsid w:val="008A70FA"/>
    <w:rsid w:val="008C19D6"/>
    <w:rsid w:val="008C30E9"/>
    <w:rsid w:val="008C44D5"/>
    <w:rsid w:val="008E4A14"/>
    <w:rsid w:val="008E67AE"/>
    <w:rsid w:val="008E7EA9"/>
    <w:rsid w:val="008F15A0"/>
    <w:rsid w:val="008F2C03"/>
    <w:rsid w:val="008F7C11"/>
    <w:rsid w:val="00906D88"/>
    <w:rsid w:val="00936C2E"/>
    <w:rsid w:val="009408FC"/>
    <w:rsid w:val="009413F5"/>
    <w:rsid w:val="00952BFC"/>
    <w:rsid w:val="0095421B"/>
    <w:rsid w:val="009547B0"/>
    <w:rsid w:val="0096302F"/>
    <w:rsid w:val="009814E7"/>
    <w:rsid w:val="009A5BEC"/>
    <w:rsid w:val="009D3C39"/>
    <w:rsid w:val="009D7F6A"/>
    <w:rsid w:val="009F09D3"/>
    <w:rsid w:val="009F32F7"/>
    <w:rsid w:val="009F37B2"/>
    <w:rsid w:val="009F7242"/>
    <w:rsid w:val="00A07246"/>
    <w:rsid w:val="00A30E03"/>
    <w:rsid w:val="00A42B51"/>
    <w:rsid w:val="00A61DA0"/>
    <w:rsid w:val="00A65997"/>
    <w:rsid w:val="00A72BEF"/>
    <w:rsid w:val="00A86648"/>
    <w:rsid w:val="00AA269E"/>
    <w:rsid w:val="00AC5106"/>
    <w:rsid w:val="00AC68F7"/>
    <w:rsid w:val="00AC75FE"/>
    <w:rsid w:val="00AD0260"/>
    <w:rsid w:val="00AD41F0"/>
    <w:rsid w:val="00AE0CCB"/>
    <w:rsid w:val="00AE6138"/>
    <w:rsid w:val="00AF5019"/>
    <w:rsid w:val="00B04124"/>
    <w:rsid w:val="00B07E38"/>
    <w:rsid w:val="00B2081C"/>
    <w:rsid w:val="00B31C96"/>
    <w:rsid w:val="00B37E55"/>
    <w:rsid w:val="00B408C0"/>
    <w:rsid w:val="00B4123F"/>
    <w:rsid w:val="00B424EE"/>
    <w:rsid w:val="00B46D4A"/>
    <w:rsid w:val="00B56BE6"/>
    <w:rsid w:val="00B611A7"/>
    <w:rsid w:val="00B77A11"/>
    <w:rsid w:val="00B804E6"/>
    <w:rsid w:val="00B960F6"/>
    <w:rsid w:val="00BA00F7"/>
    <w:rsid w:val="00BA6A79"/>
    <w:rsid w:val="00BA6BF0"/>
    <w:rsid w:val="00BB2EF1"/>
    <w:rsid w:val="00BD3EC4"/>
    <w:rsid w:val="00BD5F9E"/>
    <w:rsid w:val="00BF34D4"/>
    <w:rsid w:val="00C15FC1"/>
    <w:rsid w:val="00C24A37"/>
    <w:rsid w:val="00C25DA9"/>
    <w:rsid w:val="00C32B85"/>
    <w:rsid w:val="00C411E8"/>
    <w:rsid w:val="00C438E2"/>
    <w:rsid w:val="00C458F3"/>
    <w:rsid w:val="00C6520E"/>
    <w:rsid w:val="00C7305A"/>
    <w:rsid w:val="00C73C17"/>
    <w:rsid w:val="00CA528A"/>
    <w:rsid w:val="00CA57D1"/>
    <w:rsid w:val="00CB127C"/>
    <w:rsid w:val="00CB3E7B"/>
    <w:rsid w:val="00CB6CF2"/>
    <w:rsid w:val="00CC0D67"/>
    <w:rsid w:val="00CC697A"/>
    <w:rsid w:val="00CD1C82"/>
    <w:rsid w:val="00CE24BB"/>
    <w:rsid w:val="00CE7C94"/>
    <w:rsid w:val="00D02849"/>
    <w:rsid w:val="00D05579"/>
    <w:rsid w:val="00D0747C"/>
    <w:rsid w:val="00D2228C"/>
    <w:rsid w:val="00D41A9B"/>
    <w:rsid w:val="00D45B2A"/>
    <w:rsid w:val="00D53321"/>
    <w:rsid w:val="00D5624D"/>
    <w:rsid w:val="00D567D8"/>
    <w:rsid w:val="00D56918"/>
    <w:rsid w:val="00D726E8"/>
    <w:rsid w:val="00D740DC"/>
    <w:rsid w:val="00D93F4A"/>
    <w:rsid w:val="00D9759B"/>
    <w:rsid w:val="00DA2DB9"/>
    <w:rsid w:val="00E00AEB"/>
    <w:rsid w:val="00E029BD"/>
    <w:rsid w:val="00E03D52"/>
    <w:rsid w:val="00E06AA3"/>
    <w:rsid w:val="00E06F0A"/>
    <w:rsid w:val="00E23335"/>
    <w:rsid w:val="00E23D22"/>
    <w:rsid w:val="00E42B58"/>
    <w:rsid w:val="00E529A3"/>
    <w:rsid w:val="00E623B6"/>
    <w:rsid w:val="00E66DB6"/>
    <w:rsid w:val="00E77C19"/>
    <w:rsid w:val="00E8137A"/>
    <w:rsid w:val="00E92612"/>
    <w:rsid w:val="00E96B83"/>
    <w:rsid w:val="00EA29E0"/>
    <w:rsid w:val="00EA723A"/>
    <w:rsid w:val="00ED25DF"/>
    <w:rsid w:val="00ED5900"/>
    <w:rsid w:val="00ED714D"/>
    <w:rsid w:val="00EF1458"/>
    <w:rsid w:val="00EF2D5D"/>
    <w:rsid w:val="00F00A28"/>
    <w:rsid w:val="00F10C94"/>
    <w:rsid w:val="00F221A3"/>
    <w:rsid w:val="00F42231"/>
    <w:rsid w:val="00F55456"/>
    <w:rsid w:val="00F611CD"/>
    <w:rsid w:val="00F66730"/>
    <w:rsid w:val="00F7409E"/>
    <w:rsid w:val="00F8233B"/>
    <w:rsid w:val="00F97758"/>
    <w:rsid w:val="00FA39F2"/>
    <w:rsid w:val="00FA77AB"/>
    <w:rsid w:val="00FB098C"/>
    <w:rsid w:val="00FB1836"/>
    <w:rsid w:val="00FB2DBD"/>
    <w:rsid w:val="00F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autoRedefine/>
    <w:qFormat/>
    <w:rsid w:val="0041429F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37"/>
    <w:pPr>
      <w:ind w:left="720"/>
      <w:contextualSpacing/>
    </w:pPr>
  </w:style>
  <w:style w:type="paragraph" w:styleId="a4">
    <w:name w:val="No Spacing"/>
    <w:uiPriority w:val="1"/>
    <w:qFormat/>
    <w:rsid w:val="00C73C17"/>
    <w:pPr>
      <w:spacing w:after="0" w:line="240" w:lineRule="auto"/>
    </w:pPr>
  </w:style>
  <w:style w:type="table" w:styleId="a5">
    <w:name w:val="Table Grid"/>
    <w:basedOn w:val="a1"/>
    <w:uiPriority w:val="59"/>
    <w:rsid w:val="00C73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__ТТ_СписокМ1"/>
    <w:basedOn w:val="a"/>
    <w:qFormat/>
    <w:rsid w:val="007A6356"/>
    <w:pPr>
      <w:numPr>
        <w:numId w:val="3"/>
      </w:numPr>
      <w:tabs>
        <w:tab w:val="left" w:pos="851"/>
      </w:tabs>
      <w:spacing w:before="60" w:after="6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">
    <w:name w:val="__ТТ_СписокМ2"/>
    <w:basedOn w:val="10"/>
    <w:qFormat/>
    <w:rsid w:val="007A6356"/>
    <w:pPr>
      <w:numPr>
        <w:ilvl w:val="1"/>
      </w:numPr>
      <w:tabs>
        <w:tab w:val="clear" w:pos="851"/>
        <w:tab w:val="left" w:pos="1134"/>
      </w:tabs>
    </w:pPr>
    <w:rPr>
      <w:szCs w:val="28"/>
    </w:rPr>
  </w:style>
  <w:style w:type="paragraph" w:styleId="a6">
    <w:name w:val="footer"/>
    <w:basedOn w:val="a"/>
    <w:link w:val="a7"/>
    <w:uiPriority w:val="99"/>
    <w:rsid w:val="003D0E9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D0E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"/>
    <w:rsid w:val="004142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9D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E67A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E67A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E67AE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59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F7242"/>
    <w:rPr>
      <w:strike w:val="0"/>
      <w:dstrike w:val="0"/>
      <w:color w:val="0072BC"/>
      <w:u w:val="none"/>
      <w:effect w:val="none"/>
    </w:rPr>
  </w:style>
  <w:style w:type="paragraph" w:styleId="12">
    <w:name w:val="toc 1"/>
    <w:basedOn w:val="a"/>
    <w:next w:val="a"/>
    <w:autoRedefine/>
    <w:uiPriority w:val="39"/>
    <w:unhideWhenUsed/>
    <w:rsid w:val="00F8233B"/>
    <w:pPr>
      <w:tabs>
        <w:tab w:val="right" w:leader="dot" w:pos="9923"/>
      </w:tabs>
      <w:spacing w:after="100" w:line="240" w:lineRule="auto"/>
      <w:jc w:val="both"/>
    </w:pPr>
    <w:rPr>
      <w:rFonts w:ascii="Times New Roman" w:hAnsi="Times New Roman"/>
      <w:sz w:val="24"/>
    </w:rPr>
  </w:style>
  <w:style w:type="paragraph" w:styleId="af">
    <w:name w:val="header"/>
    <w:basedOn w:val="a"/>
    <w:link w:val="af0"/>
    <w:uiPriority w:val="99"/>
    <w:unhideWhenUsed/>
    <w:rsid w:val="00F6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611CD"/>
  </w:style>
  <w:style w:type="paragraph" w:customStyle="1" w:styleId="2909F619802848F09E01365C32F34654">
    <w:name w:val="2909F619802848F09E01365C32F34654"/>
    <w:rsid w:val="00F611C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autoRedefine/>
    <w:qFormat/>
    <w:rsid w:val="0041429F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37"/>
    <w:pPr>
      <w:ind w:left="720"/>
      <w:contextualSpacing/>
    </w:pPr>
  </w:style>
  <w:style w:type="paragraph" w:styleId="a4">
    <w:name w:val="No Spacing"/>
    <w:uiPriority w:val="1"/>
    <w:qFormat/>
    <w:rsid w:val="00C73C17"/>
    <w:pPr>
      <w:spacing w:after="0" w:line="240" w:lineRule="auto"/>
    </w:pPr>
  </w:style>
  <w:style w:type="table" w:styleId="a5">
    <w:name w:val="Table Grid"/>
    <w:basedOn w:val="a1"/>
    <w:uiPriority w:val="59"/>
    <w:rsid w:val="00C73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__ТТ_СписокМ1"/>
    <w:basedOn w:val="a"/>
    <w:qFormat/>
    <w:rsid w:val="007A6356"/>
    <w:pPr>
      <w:numPr>
        <w:numId w:val="3"/>
      </w:numPr>
      <w:tabs>
        <w:tab w:val="left" w:pos="851"/>
      </w:tabs>
      <w:spacing w:before="60" w:after="6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">
    <w:name w:val="__ТТ_СписокМ2"/>
    <w:basedOn w:val="10"/>
    <w:qFormat/>
    <w:rsid w:val="007A6356"/>
    <w:pPr>
      <w:numPr>
        <w:ilvl w:val="1"/>
      </w:numPr>
      <w:tabs>
        <w:tab w:val="clear" w:pos="851"/>
        <w:tab w:val="left" w:pos="1134"/>
      </w:tabs>
    </w:pPr>
    <w:rPr>
      <w:szCs w:val="28"/>
    </w:rPr>
  </w:style>
  <w:style w:type="paragraph" w:styleId="a6">
    <w:name w:val="footer"/>
    <w:basedOn w:val="a"/>
    <w:link w:val="a7"/>
    <w:uiPriority w:val="99"/>
    <w:rsid w:val="003D0E9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D0E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1 Знак"/>
    <w:basedOn w:val="a0"/>
    <w:link w:val="1"/>
    <w:rsid w:val="004142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9D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8E67A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E67A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E67AE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59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F7242"/>
    <w:rPr>
      <w:strike w:val="0"/>
      <w:dstrike w:val="0"/>
      <w:color w:val="0072BC"/>
      <w:u w:val="none"/>
      <w:effect w:val="none"/>
    </w:rPr>
  </w:style>
  <w:style w:type="paragraph" w:styleId="12">
    <w:name w:val="toc 1"/>
    <w:basedOn w:val="a"/>
    <w:next w:val="a"/>
    <w:autoRedefine/>
    <w:uiPriority w:val="39"/>
    <w:unhideWhenUsed/>
    <w:rsid w:val="00F8233B"/>
    <w:pPr>
      <w:tabs>
        <w:tab w:val="right" w:leader="dot" w:pos="9923"/>
      </w:tabs>
      <w:spacing w:after="100" w:line="240" w:lineRule="auto"/>
      <w:jc w:val="both"/>
    </w:pPr>
    <w:rPr>
      <w:rFonts w:ascii="Times New Roman" w:hAnsi="Times New Roman"/>
      <w:sz w:val="24"/>
    </w:rPr>
  </w:style>
  <w:style w:type="paragraph" w:styleId="af">
    <w:name w:val="header"/>
    <w:basedOn w:val="a"/>
    <w:link w:val="af0"/>
    <w:uiPriority w:val="99"/>
    <w:unhideWhenUsed/>
    <w:rsid w:val="00F6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611CD"/>
  </w:style>
  <w:style w:type="paragraph" w:customStyle="1" w:styleId="2909F619802848F09E01365C32F34654">
    <w:name w:val="2909F619802848F09E01365C32F34654"/>
    <w:rsid w:val="00F611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____Microsoft_Visio2211111111.vsdx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Visio3333333333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B0762B42C8788FF4C20C7ED562A4E1AB78926BD52C1A68383BBCC987D0BD1B05E8F2440DAEBDDAVFIFR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Visio1122222222.vsdx"/><Relationship Id="rId10" Type="http://schemas.openxmlformats.org/officeDocument/2006/relationships/hyperlink" Target="consultantplus://offline/ref=3B40E6A6A7CE8C1829AB3A067BBE0AF5BFA48DB48E2A358A4B254A3F1DO8L0O" TargetMode="External"/><Relationship Id="rId19" Type="http://schemas.openxmlformats.org/officeDocument/2006/relationships/package" Target="embeddings/_________Microsoft_Visio4444444444.vsdx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B0762B42C8788FF4C20C7ED562A4E1AB78926BD52C1A68383BBCC987D0BD1B05E8F2440DAEBDDAVFIFR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81B71-2941-4E68-9ABA-4BEAE8AF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Фаткулина Ксения Рашидовна</dc:creator>
  <cp:lastModifiedBy>Ринкевич Екатерина Александровна</cp:lastModifiedBy>
  <cp:revision>2</cp:revision>
  <cp:lastPrinted>2016-12-06T09:50:00Z</cp:lastPrinted>
  <dcterms:created xsi:type="dcterms:W3CDTF">2017-01-12T12:06:00Z</dcterms:created>
  <dcterms:modified xsi:type="dcterms:W3CDTF">2017-01-12T12:06:00Z</dcterms:modified>
</cp:coreProperties>
</file>