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>(в  редакции  Закона  Липецкой  области  от  22  февраля  2024  года  № 454-ОЗ)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  <w:bookmarkStart w:id="0" w:name="_GoBack"/>
      <w:bookmarkEnd w:id="0"/>
    </w:p>
    <w:p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902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B61F7"/>
    <w:rsid w:val="00DC1C2E"/>
    <w:rsid w:val="00DC39E1"/>
    <w:rsid w:val="00E15248"/>
    <w:rsid w:val="00E17527"/>
    <w:rsid w:val="00E94965"/>
    <w:rsid w:val="00EF41C4"/>
    <w:rsid w:val="00F4465B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27352-EF8F-4DC4-B152-CD0A9375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Master</cp:lastModifiedBy>
  <cp:revision>35</cp:revision>
  <dcterms:created xsi:type="dcterms:W3CDTF">2020-05-23T14:33:00Z</dcterms:created>
  <dcterms:modified xsi:type="dcterms:W3CDTF">2024-03-02T06:18:00Z</dcterms:modified>
</cp:coreProperties>
</file>