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B7" w:rsidRDefault="003E41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3E41B7" w:rsidRDefault="003E41B7">
      <w:pPr>
        <w:pStyle w:val="ConsPlusNormal"/>
        <w:jc w:val="both"/>
        <w:outlineLvl w:val="0"/>
      </w:pPr>
    </w:p>
    <w:p w:rsidR="003E41B7" w:rsidRDefault="003E41B7">
      <w:pPr>
        <w:pStyle w:val="ConsPlusNormal"/>
        <w:outlineLvl w:val="0"/>
      </w:pPr>
      <w:r>
        <w:t>Зарегистрировано в Минюсте России 31 января 2020 г. N 57383</w:t>
      </w:r>
    </w:p>
    <w:p w:rsidR="003E41B7" w:rsidRDefault="003E41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1B7" w:rsidRDefault="003E41B7">
      <w:pPr>
        <w:pStyle w:val="ConsPlusNormal"/>
        <w:jc w:val="both"/>
      </w:pPr>
    </w:p>
    <w:p w:rsidR="003E41B7" w:rsidRDefault="003E41B7">
      <w:pPr>
        <w:pStyle w:val="ConsPlusTitle"/>
        <w:jc w:val="center"/>
      </w:pPr>
      <w:r>
        <w:t>МИНИСТЕРСТВО ФИНАНСОВ РОССИЙСКОЙ ФЕДЕРАЦИИ</w:t>
      </w:r>
    </w:p>
    <w:p w:rsidR="003E41B7" w:rsidRDefault="003E41B7">
      <w:pPr>
        <w:pStyle w:val="ConsPlusTitle"/>
        <w:jc w:val="center"/>
      </w:pPr>
    </w:p>
    <w:p w:rsidR="003E41B7" w:rsidRDefault="003E41B7">
      <w:pPr>
        <w:pStyle w:val="ConsPlusTitle"/>
        <w:jc w:val="center"/>
      </w:pPr>
      <w:r>
        <w:t>ПРИКАЗ</w:t>
      </w:r>
    </w:p>
    <w:p w:rsidR="003E41B7" w:rsidRDefault="003E41B7">
      <w:pPr>
        <w:pStyle w:val="ConsPlusTitle"/>
        <w:jc w:val="center"/>
      </w:pPr>
      <w:r>
        <w:t>от 15 ноября 2019 г. N 184н</w:t>
      </w:r>
    </w:p>
    <w:p w:rsidR="003E41B7" w:rsidRDefault="003E41B7">
      <w:pPr>
        <w:pStyle w:val="ConsPlusTitle"/>
        <w:jc w:val="center"/>
      </w:pPr>
    </w:p>
    <w:p w:rsidR="003E41B7" w:rsidRDefault="003E41B7">
      <w:pPr>
        <w:pStyle w:val="ConsPlusTitle"/>
        <w:jc w:val="center"/>
      </w:pPr>
      <w:r>
        <w:t>ОБ УТВЕРЖДЕНИИ ФЕДЕРАЛЬНОГО СТАНДАРТА</w:t>
      </w:r>
    </w:p>
    <w:p w:rsidR="003E41B7" w:rsidRDefault="003E41B7">
      <w:pPr>
        <w:pStyle w:val="ConsPlusTitle"/>
        <w:jc w:val="center"/>
      </w:pPr>
      <w:r>
        <w:t>БУХГАЛТЕРСКОГО УЧЕТА ГОСУДАРСТВЕННЫХ ФИНАНСОВ</w:t>
      </w:r>
    </w:p>
    <w:p w:rsidR="003E41B7" w:rsidRDefault="003E41B7">
      <w:pPr>
        <w:pStyle w:val="ConsPlusTitle"/>
        <w:jc w:val="center"/>
      </w:pPr>
      <w:r>
        <w:t>"ВЫПЛАТЫ ПЕРСОНАЛУ"</w:t>
      </w:r>
    </w:p>
    <w:p w:rsidR="003E41B7" w:rsidRDefault="003E41B7">
      <w:pPr>
        <w:pStyle w:val="ConsPlusNormal"/>
        <w:jc w:val="center"/>
      </w:pPr>
    </w:p>
    <w:p w:rsidR="003E41B7" w:rsidRDefault="003E41B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165</w:t>
        </w:r>
      </w:hyperlink>
      <w:r>
        <w:t xml:space="preserve"> и </w:t>
      </w:r>
      <w:hyperlink r:id="rId6">
        <w:r>
          <w:rPr>
            <w:color w:val="0000FF"/>
          </w:rPr>
          <w:t>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4101; N 31, ст. 4466), </w:t>
      </w:r>
      <w:hyperlink r:id="rId7">
        <w:r>
          <w:rPr>
            <w:color w:val="0000FF"/>
          </w:rPr>
          <w:t>статьями 21</w:t>
        </w:r>
      </w:hyperlink>
      <w:r>
        <w:t xml:space="preserve"> и </w:t>
      </w:r>
      <w:hyperlink r:id="rId8">
        <w:r>
          <w:rPr>
            <w:color w:val="0000FF"/>
          </w:rPr>
          <w:t>23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2019, N 30, ст. 4149), </w:t>
      </w:r>
      <w:hyperlink r:id="rId9">
        <w:r>
          <w:rPr>
            <w:color w:val="0000FF"/>
          </w:rPr>
          <w:t>подпунктом 5.2.21(1)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2012, N 44, ст. 6027), в целях регулирования бюджетного учета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бухгалтерского учета государственных (муниципальных) бюджетных и автономных учреждений и составления, представления, рассмотрения и утверждения бюджетной отчетности, бухгалтерской (финансовой) отчетности государственных (муниципальных) бюджетных и автономных учреждений приказываю: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6">
        <w:r>
          <w:rPr>
            <w:color w:val="0000FF"/>
          </w:rPr>
          <w:t>стандарт</w:t>
        </w:r>
      </w:hyperlink>
      <w:r>
        <w:t xml:space="preserve"> бухгалтерского учета государственных финансов "Выплаты персоналу" (далее - Стандарт).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6">
        <w:r>
          <w:rPr>
            <w:color w:val="0000FF"/>
          </w:rPr>
          <w:t>Стандарт</w:t>
        </w:r>
      </w:hyperlink>
      <w:r>
        <w:t xml:space="preserve"> применяется при ведении бюджетного учета, бухгалтерского учета государственных (муниципальных) бюджетных и автономных учреждений с 1 января 2021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2021 года.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3. Департаменту бюджетной методологии и финансовой отчетности в государственном секторе Министерства финансов Российской Федерации (Романову С.В.) обеспечить методологическое сопровождение применения </w:t>
      </w:r>
      <w:hyperlink w:anchor="P36">
        <w:r>
          <w:rPr>
            <w:color w:val="0000FF"/>
          </w:rPr>
          <w:t>Стандарта</w:t>
        </w:r>
      </w:hyperlink>
      <w:r>
        <w:t>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jc w:val="right"/>
      </w:pPr>
      <w:r>
        <w:t>Первый заместитель</w:t>
      </w:r>
    </w:p>
    <w:p w:rsidR="003E41B7" w:rsidRDefault="003E41B7">
      <w:pPr>
        <w:pStyle w:val="ConsPlusNormal"/>
        <w:jc w:val="right"/>
      </w:pPr>
      <w:r>
        <w:t>Председателя Правительства</w:t>
      </w:r>
    </w:p>
    <w:p w:rsidR="003E41B7" w:rsidRDefault="003E41B7">
      <w:pPr>
        <w:pStyle w:val="ConsPlusNormal"/>
        <w:jc w:val="right"/>
      </w:pPr>
      <w:r>
        <w:t>Российской Федерации -</w:t>
      </w:r>
    </w:p>
    <w:p w:rsidR="003E41B7" w:rsidRDefault="003E41B7">
      <w:pPr>
        <w:pStyle w:val="ConsPlusNormal"/>
        <w:jc w:val="right"/>
      </w:pPr>
      <w:r>
        <w:t>Министр финансов</w:t>
      </w:r>
    </w:p>
    <w:p w:rsidR="003E41B7" w:rsidRDefault="003E41B7">
      <w:pPr>
        <w:pStyle w:val="ConsPlusNormal"/>
        <w:jc w:val="right"/>
      </w:pPr>
      <w:r>
        <w:t>Российской Федерации</w:t>
      </w:r>
    </w:p>
    <w:p w:rsidR="003E41B7" w:rsidRDefault="003E41B7">
      <w:pPr>
        <w:pStyle w:val="ConsPlusNormal"/>
        <w:jc w:val="right"/>
      </w:pPr>
      <w:r>
        <w:t>А.Г.СИЛУАНОВ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jc w:val="right"/>
        <w:outlineLvl w:val="0"/>
      </w:pPr>
      <w:r>
        <w:t>Утвержден</w:t>
      </w:r>
    </w:p>
    <w:p w:rsidR="003E41B7" w:rsidRDefault="003E41B7">
      <w:pPr>
        <w:pStyle w:val="ConsPlusNormal"/>
        <w:jc w:val="right"/>
      </w:pPr>
      <w:r>
        <w:t>приказом Министерства финансов</w:t>
      </w:r>
    </w:p>
    <w:p w:rsidR="003E41B7" w:rsidRDefault="003E41B7">
      <w:pPr>
        <w:pStyle w:val="ConsPlusNormal"/>
        <w:jc w:val="right"/>
      </w:pPr>
      <w:r>
        <w:t>Российской Федерации</w:t>
      </w:r>
    </w:p>
    <w:p w:rsidR="003E41B7" w:rsidRDefault="003E41B7">
      <w:pPr>
        <w:pStyle w:val="ConsPlusNormal"/>
        <w:jc w:val="right"/>
      </w:pPr>
      <w:r>
        <w:lastRenderedPageBreak/>
        <w:t>от 15.11.2019 N 184н</w:t>
      </w:r>
    </w:p>
    <w:p w:rsidR="003E41B7" w:rsidRDefault="003E41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1B7" w:rsidRDefault="003E4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1B7" w:rsidRDefault="003E4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1B7" w:rsidRDefault="003E41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41B7" w:rsidRDefault="003E41B7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Минфина России от 30.11.2020 N 02-06-07/104576 направлены Методические </w:t>
            </w:r>
            <w:hyperlink r:id="rId1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применению данного Стандарта.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1B7" w:rsidRDefault="003E41B7">
            <w:pPr>
              <w:pStyle w:val="ConsPlusNormal"/>
            </w:pPr>
          </w:p>
        </w:tc>
      </w:tr>
    </w:tbl>
    <w:p w:rsidR="003E41B7" w:rsidRDefault="003E41B7">
      <w:pPr>
        <w:pStyle w:val="ConsPlusTitle"/>
        <w:spacing w:before="280"/>
        <w:jc w:val="center"/>
      </w:pPr>
      <w:bookmarkStart w:id="1" w:name="P36"/>
      <w:bookmarkEnd w:id="1"/>
      <w:r>
        <w:t>ФЕДЕРАЛЬНЫЙ СТАНДАРТ</w:t>
      </w:r>
    </w:p>
    <w:p w:rsidR="003E41B7" w:rsidRDefault="003E41B7">
      <w:pPr>
        <w:pStyle w:val="ConsPlusTitle"/>
        <w:jc w:val="center"/>
      </w:pPr>
      <w:r>
        <w:t>БУХГАЛТЕРСКОГО УЧЕТА ГОСУДАРСТВЕННЫХ ФИНАНСОВ</w:t>
      </w:r>
    </w:p>
    <w:p w:rsidR="003E41B7" w:rsidRDefault="003E41B7">
      <w:pPr>
        <w:pStyle w:val="ConsPlusTitle"/>
        <w:jc w:val="center"/>
      </w:pPr>
      <w:r>
        <w:t>"ВЫПЛАТЫ ПЕРСОНАЛУ"</w:t>
      </w:r>
    </w:p>
    <w:p w:rsidR="003E41B7" w:rsidRDefault="003E41B7">
      <w:pPr>
        <w:pStyle w:val="ConsPlusNormal"/>
        <w:jc w:val="center"/>
      </w:pPr>
    </w:p>
    <w:p w:rsidR="003E41B7" w:rsidRDefault="003E41B7">
      <w:pPr>
        <w:pStyle w:val="ConsPlusTitle"/>
        <w:jc w:val="center"/>
        <w:outlineLvl w:val="1"/>
      </w:pPr>
      <w:r>
        <w:t>I. Общие положения</w:t>
      </w:r>
    </w:p>
    <w:p w:rsidR="003E41B7" w:rsidRDefault="003E41B7">
      <w:pPr>
        <w:pStyle w:val="ConsPlusNormal"/>
        <w:jc w:val="center"/>
      </w:pPr>
    </w:p>
    <w:p w:rsidR="003E41B7" w:rsidRDefault="003E41B7">
      <w:pPr>
        <w:pStyle w:val="ConsPlusNormal"/>
        <w:ind w:firstLine="540"/>
        <w:jc w:val="both"/>
      </w:pPr>
      <w:r>
        <w:t>1. Федеральный стандарт бухгалтерского учета государственных финансов "Выплаты персоналу" (далее - Стандарт) разработан в целях обеспечения единства системы требований к бухгалтерскому учету, осуществляемому государственными (муниципальными) бюджетными и автономными учреждениями, бюджетному учету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нефинансовые и финансовые активы и обязательства (далее - бухгалтерский учет), к формированию информации об объектах бухгалтерского учета, бухгалтерской (финансовой) отчетности государственных (муниципальных) бюджетных и автономных учреждений, бюджетной отчетности (далее - бухгалтерская (финансовая) отчетность).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2. Стандарт устанавливает единые требования к порядку признания, первоначальной и последующей оценки в бухгалтерском учете обязанностей и (или) обязательств перед работниками государственных (муниципальных) учреждений, органов управления государственными внебюджетными фондами,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и муниципальными служащими, работниками государственных (муниципальных) органов, не являющимися государственными гражданскими (муниципальными) служащими, военнослужащими и приравненными к ним лицами, сотрудниками органов внутренних дел, сотрудниками, имеющими специальные звания и проходящими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а также перед физическими лицами, привлекаемыми в соответствии с законодательством Российской Федерации, законодательством субъектов Российской Федерации и (или) муниципальными правовыми актами для выполнения отдельных полномочий без заключения с ними трудовых договоров (служебных контрактов, контрактов) или договоров гражданско-правового характера (далее - персонал), по осуществлению выплат, обусловленных их статусом в соответствии с законодательством Российской Федерации, законодательством субъектов Российской Федерации и муниципальными правовыми актами, трудовыми договорами (служебными контрактами, контрактами), а также раскрытию указанной информации в бухгалтерской (финансовой) отчетности.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3. Положения Стандарта применяются при ведении бухгалтерского учета, раскрытии информации в бухгалтерской (финансовой) отчетности, если иное не установлено другими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бюджетным законодательством Российской Федерации и </w:t>
      </w:r>
      <w:hyperlink r:id="rId11">
        <w:r>
          <w:rPr>
            <w:color w:val="0000FF"/>
          </w:rPr>
          <w:t>Инструкцией</w:t>
        </w:r>
      </w:hyperlink>
      <w: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&lt;1&gt; (далее - нормативные правовые акты, регулирующие ведение бухгалтерского учета и составление бухгалтерской (финансовой) отчетности).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&lt;1&gt; Утверждена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25 марта 2011 г. N 33н (зарегистрирован Министерством юстиции Российской Федерации 22 апреля 2011 г., регистрационный номер 20558), с изменениями, внесенными приказами Министерства финансов Российской Федерации от 26 октября 2012 г. N 139н (зарегистрирован Министерством юстиции Российской Федерации 19 декабря 2012 г., регистрационный номер 26195), от 29 декабря 2014 г. N 172н (зарегистрирован Министерством юстиции Российской Федерации 4 февраля 2015 г., регистрационный номер 35854), от 20 марта 2015 г. N 43н (зарегистрирован Министерством юстиции Российской Федерации 1 апреля 2015 г., регистрационный номер 36668), от 17 декабря 2015 г. N 199н (зарегистрирован Министерством юстиции Российской Федерации 28 января 2016 г., регистрационный номер 40889), от 16 ноября 2016 г. N 209н (зарегистрирован Министерством юстиции Российской Федерации 15 декабря 2016 г., регистрационный номер 44741), от 14 ноября 2017 г. N 189н (зарегистрирован Министерством юстиции Российской Федерации 12 декабря 2017 г., регистрационный номер 49217), от 7 марта 2018 г. N 42н (зарегистрирован Министерством юстиции Российской Федерации 28 марта 2018 г., регистрационный номер 50553), от 30 ноября 2018 г. N 243н (зарегистрирован Министерством юстиции Российской Федерации 25 декабря 2018 г., регистрационный номер 53168), от 28 февраля 2019 г. N 32н (зарегистрирован Министерством юстиции Российской Федерации 27 марта 2019 г., регистрационный номер 54184), от 16 мая 2019 г. N 73н (зарегистрирован Министерством юстиции Российской Федерации 11 июня 2019 г., регистрационный номер 54909), от 16 октября 2019 г. N 166н (зарегистрирован в Министерстве юстиции Российской Федерации 20 декабря 2019 г., регистрационный номер 56918).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  <w:r>
        <w:t xml:space="preserve">4. Положения Стандарта применяются одновременно с применением положений федерального </w:t>
      </w:r>
      <w:hyperlink r:id="rId13">
        <w:r>
          <w:rPr>
            <w:color w:val="0000FF"/>
          </w:rPr>
          <w:t>стандарта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&lt;2&gt;.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&lt;2&gt; Утвержден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(зарегистрирован Министерством юстиции Российской Федерации 27 апреля 2017 г., регистрационный номер 46517) с изменениями, внесенными приказом Министерства финансов Российской Федерации от 10 июня 2019 г. N 94н (зарегистрирован Министерством юстиции Российской Федерации 4 июля 2019 г., регистрационный номер 55140).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Title"/>
        <w:jc w:val="center"/>
        <w:outlineLvl w:val="1"/>
      </w:pPr>
      <w:r>
        <w:t>II. Термины и их определения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  <w:r>
        <w:t>5.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Стандарте в том же значении, в каком они используются в этих нормативных правовых актах.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6. В Стандарте используются следующие термины в указанных значениях.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Выплаты персоналу - расходы субъекта учета на оплату труда персонала, денежное содержание (денежное вознаграждение, денежное довольствие, заработная плата), командировочные и иные выплаты, обусловленные статусом персонала в соответствии с законодательством Российской Федерации, законодательством субъектов Российской Федерации и (или) муниципальными правовыми актами, трудовыми договорами (служебными контрактами, контрактами), а также расходы на оплату страховых взносов по обязательному социальному страхованию. Выплаты персоналу включают выплаты, предоставляемые как персоналу, так и членам их семей и (или) лицам, находящимся на их иждивении, которые могут осуществляться в </w:t>
      </w:r>
      <w:r>
        <w:lastRenderedPageBreak/>
        <w:t>виде денежных выплат и (или) предоставления товаров или услуг либо непосредственно работникам, либо их супругам, детям или другим лицам, находящимся на их иждивении.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Основными группами выплат персоналу являются: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а) текущие выплаты персоналу;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б) отложенные выплаты персоналу.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Текущие выплаты персоналу - выплаты персоналу, обусловленные обязательствами субъекта учета по их осуществлению в срок и в размере, которые установлены законом, иным нормативным правовым актом, включая локальные нормативные акты, и (или) трудовым договором (служебным контрактом, контрактом).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Отложенные выплаты персоналу - выплаты персоналу, обусловленные обязанностью субъекта учета по их осуществлению, величина которых на момент их принятия представляет собой </w:t>
      </w:r>
      <w:proofErr w:type="spellStart"/>
      <w:r>
        <w:t>расчетно</w:t>
      </w:r>
      <w:proofErr w:type="spellEnd"/>
      <w:r>
        <w:t xml:space="preserve"> (</w:t>
      </w:r>
      <w:proofErr w:type="spellStart"/>
      <w:r>
        <w:t>документарно</w:t>
      </w:r>
      <w:proofErr w:type="spellEnd"/>
      <w:r>
        <w:t>) обоснованную оценку обязательства с неопределенным временем (финансовым периодом) их исполнения.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Title"/>
        <w:jc w:val="center"/>
        <w:outlineLvl w:val="1"/>
      </w:pPr>
      <w:r>
        <w:t>III. Признание (принятие к бухгалтерскому учету) и оценка</w:t>
      </w:r>
    </w:p>
    <w:p w:rsidR="003E41B7" w:rsidRDefault="003E41B7">
      <w:pPr>
        <w:pStyle w:val="ConsPlusTitle"/>
        <w:jc w:val="center"/>
      </w:pPr>
      <w:r>
        <w:t>при признании объектов учета выплат персоналу</w:t>
      </w:r>
    </w:p>
    <w:p w:rsidR="003E41B7" w:rsidRDefault="003E41B7">
      <w:pPr>
        <w:pStyle w:val="ConsPlusNormal"/>
        <w:jc w:val="center"/>
      </w:pPr>
    </w:p>
    <w:p w:rsidR="003E41B7" w:rsidRDefault="003E41B7">
      <w:pPr>
        <w:pStyle w:val="ConsPlusNormal"/>
        <w:ind w:firstLine="540"/>
        <w:jc w:val="both"/>
      </w:pPr>
      <w:r>
        <w:t>7. Объектом учета текущих выплат персоналу являются отдельные денежные обязательства, группируемые по видам обязательств в соответствии с видами расходов, установленными классификацией расходов бюджета бюджетной классификации Российской Федерации &lt;3&gt;, в том числе выходные пособия, кроме выходных пособий, связанных с реструктуризацией деятельности.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Статья 21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4101, N 31, ст. 4437).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  <w:r>
        <w:t>8. Объекты учета текущих выплат персоналу признаются в составе расчетов по принятым обязательствам по оплате труда и начислениям на выплаты по оплате труда по факту их начисления за период, когда персонал исполнял трудовые функции (возлагаемые на него отдельные полномочия), должностные обязанности, обязанности в сфере национальной обороны, правоохранительной деятельности и обеспечения безопасности государства.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Объекты учета текущих выплат персоналу признаются в сумме денежных обязательств перед физическим лицом, подлежащих исполнению в размере, установленном законом, иным нормативным правовым актом, включая локальные нормативные акты, и (или) трудовым договором (служебным контрактом, контрактом).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9. Объектом учета отложенных выплат персоналу являются отдельные виды обязанностей по осуществлению выплат персоналу, в том числе выплат персоналу в соответствии с законодательством Российской Федерации, законодательством субъектов Российской Федерации и (или) актами органа местного самоуправления о государственном пенсионном обеспечении за исключением пенсионных выплат из бюджета Пенсионного фонда Российской Федерации, а также выплат, предусмотренных локальными нормативными актами, в связи с достижением работником установленного законодательством Российской Федерации пенсионного возраста и (или) стажа работы (далее - пенсионные и иные аналогичные выплаты), группируемые по видам расходов, установленным классификацией расходов бюджета бюджетной классификации Российской Федерации.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Выплаты персоналу в виде выходных пособий не относятся к отложенным выплатам персоналу.</w:t>
      </w:r>
    </w:p>
    <w:p w:rsidR="003E41B7" w:rsidRDefault="003E41B7">
      <w:pPr>
        <w:pStyle w:val="ConsPlusNormal"/>
        <w:spacing w:before="220"/>
        <w:ind w:firstLine="540"/>
        <w:jc w:val="both"/>
      </w:pPr>
      <w:bookmarkStart w:id="2" w:name="P74"/>
      <w:bookmarkEnd w:id="2"/>
      <w:r>
        <w:lastRenderedPageBreak/>
        <w:t>10. Объекты учета отложенных выплат персоналу признаются в составе резерва предстоящих расходов по выплатам персоналу в том отчетном периоде, когда персонал исполнял трудовые функции, должностные обязанности, обязанности в сфере национальной обороны, правоохранительной деятельности и обеспечения безопасности государства.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Объекты учета отложенных выплат персоналу признаются: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в части предстоящих расходов на оплату отпусков - в сумме предстоящей оплаты отпусков за фактически отработанное время и (или) компенсаций за неиспользованные отпуска, в том числе при увольнении, включая платежи на обязательное социальное страхование. Порядок расчета резерва предстоящих расходов по выплатам персоналу устанавливается субъектом учета в рамках формирования учетной политики;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в части предстоящих расходов на пенсионные и иные аналогичные выплаты - в сумме бюджетных ассигнований (лимитов бюджетных обязательств) или в сумме показателей, утвержденных планом финансово-хозяйственной деятельности государственного (муниципального) учреждения и предусмотренных на соответствующие цели на очередной финансовый год и плановый период. Информация о бюджетных ассигнованиях (лимитах бюджетных обязательств), показателях плана финансово-хозяйственной деятельности государственного (муниципального) учреждения, предусмотренных на пенсионные и иные аналогичные выплаты на плановый период, отражается в составе бюджетной информации субъекта учета.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Title"/>
        <w:jc w:val="center"/>
        <w:outlineLvl w:val="1"/>
      </w:pPr>
      <w:r>
        <w:t>IV. Последующая оценка объектов учета выплат персоналу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  <w:r>
        <w:t>11. Стоимостная оценка объектов учета текущих выплат персоналу после первоначального признания не подлежит изменению.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 xml:space="preserve">12. Не реже чем на годовую отчетную дату стоимостная оценка объектов учета отложенных выплат персоналу подлежит пересмотру и при необходимости корректировке до величины, определенной в соответствии с </w:t>
      </w:r>
      <w:hyperlink w:anchor="P74">
        <w:r>
          <w:rPr>
            <w:color w:val="0000FF"/>
          </w:rPr>
          <w:t>пунктом 10</w:t>
        </w:r>
      </w:hyperlink>
      <w:r>
        <w:t xml:space="preserve"> Стандарта.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Title"/>
        <w:jc w:val="center"/>
        <w:outlineLvl w:val="1"/>
      </w:pPr>
      <w:r>
        <w:t>V. Прекращение признания (выбытие с бухгалтерского учета)</w:t>
      </w:r>
    </w:p>
    <w:p w:rsidR="003E41B7" w:rsidRDefault="003E41B7">
      <w:pPr>
        <w:pStyle w:val="ConsPlusTitle"/>
        <w:jc w:val="center"/>
      </w:pPr>
      <w:r>
        <w:t>объектов учета выплат персоналу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  <w:r>
        <w:t>13. Прекращение признания (выбытие с балансового учета и (или) прекращение отражения в бухгалтерской (финансовой) отчетности) объектов учета текущих выплат персоналу осуществляется по мере их исполнения (прекращения обязательства).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14. Прекращение признания (выбытие с балансового учета и (или) прекращение отражения в бухгалтерской (финансовой) отчетности) объектов учета отложенных выплат персоналу осуществляется по мере признания объектов учета текущих выплат персоналу за счет сумм ранее признанного резерва предстоящих расходов по выплатам персоналу.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В случае избыточности суммы признанного резерва предстоящих расходов по выплатам персоналу (отложенных выплат персоналу) размер резерва корректируется (уменьшается) с отнесением на расходы текущего отчетного периода.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Title"/>
        <w:jc w:val="center"/>
        <w:outlineLvl w:val="1"/>
      </w:pPr>
      <w:r>
        <w:t>VI. Раскрытие информации об объектах учета выплат</w:t>
      </w:r>
    </w:p>
    <w:p w:rsidR="003E41B7" w:rsidRDefault="003E41B7">
      <w:pPr>
        <w:pStyle w:val="ConsPlusTitle"/>
        <w:jc w:val="center"/>
      </w:pPr>
      <w:r>
        <w:t>персоналу (результатах операций с ними) в бухгалтерской</w:t>
      </w:r>
    </w:p>
    <w:p w:rsidR="003E41B7" w:rsidRDefault="003E41B7">
      <w:pPr>
        <w:pStyle w:val="ConsPlusTitle"/>
        <w:jc w:val="center"/>
      </w:pPr>
      <w:r>
        <w:t>(финансовой) отчетности</w:t>
      </w:r>
    </w:p>
    <w:p w:rsidR="003E41B7" w:rsidRDefault="003E41B7">
      <w:pPr>
        <w:pStyle w:val="ConsPlusNormal"/>
        <w:ind w:firstLine="540"/>
        <w:jc w:val="both"/>
      </w:pPr>
    </w:p>
    <w:p w:rsidR="003E41B7" w:rsidRDefault="003E41B7">
      <w:pPr>
        <w:pStyle w:val="ConsPlusNormal"/>
        <w:ind w:firstLine="540"/>
        <w:jc w:val="both"/>
      </w:pPr>
      <w:r>
        <w:t>15. В годовой бухгалтерской (финансовой) отчетности субъекта учета раскрывается следующая информация: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lastRenderedPageBreak/>
        <w:t>а) сумма задолженности по текущим выплатам персоналу на начало и конец отчетного периода;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б) сумма резерва предстоящих расходов по выплатам персоналу (отложенных выплат персоналу) на начало и конец отчетного периода по каждому виду обязанностей по выплатам персоналу;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в) сумма корректировок (увеличений, уменьшений) величины резерва предстоящих расходов по выплатам персоналу (отложенных выплат персоналу) по каждому виду отложенных выплат персоналу в структуре оснований: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признание объектов учета отложенных выплат персоналу;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признание объектов учета текущих выплат персоналу за счет сумм ранее признанного резерва предстоящих расходов по выплатам персоналу;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корректировка резерва предстоящих расходов по выплатам персоналу в части избыточно начисленных сумм.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16. Дополнительно в составе бюджетной информации субъекта учета раскрывается информация о пенсионных и иных аналогичных выплатах на плановый период.</w:t>
      </w:r>
    </w:p>
    <w:p w:rsidR="003E41B7" w:rsidRDefault="003E41B7">
      <w:pPr>
        <w:pStyle w:val="ConsPlusNormal"/>
        <w:spacing w:before="220"/>
        <w:ind w:firstLine="540"/>
        <w:jc w:val="both"/>
      </w:pPr>
      <w:r>
        <w:t>17. Представление сопоставимой сравнительной информации за предыдущие отчетные периоды по отложенным выплатам персоналу в части пенсионных и иных аналогичных выплат в бухгалтерской (финансовой) отчетности при первом применении Стандарта не осуществляется.</w:t>
      </w:r>
    </w:p>
    <w:p w:rsidR="003E41B7" w:rsidRDefault="003E41B7">
      <w:pPr>
        <w:pStyle w:val="ConsPlusNormal"/>
        <w:jc w:val="both"/>
      </w:pPr>
    </w:p>
    <w:p w:rsidR="003E41B7" w:rsidRDefault="003E41B7">
      <w:pPr>
        <w:pStyle w:val="ConsPlusNormal"/>
        <w:jc w:val="both"/>
      </w:pPr>
    </w:p>
    <w:p w:rsidR="003E41B7" w:rsidRDefault="003E41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C3C" w:rsidRDefault="00861C3C"/>
    <w:sectPr w:rsidR="00861C3C" w:rsidSect="0057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7"/>
    <w:rsid w:val="003E41B7"/>
    <w:rsid w:val="008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63AE-EB78-46BC-969D-DE4E446A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4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4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81&amp;dst=100215" TargetMode="External"/><Relationship Id="rId13" Type="http://schemas.openxmlformats.org/officeDocument/2006/relationships/hyperlink" Target="https://login.consultant.ru/link/?req=doc&amp;base=LAW&amp;n=460116&amp;dst=1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181&amp;dst=80" TargetMode="External"/><Relationship Id="rId12" Type="http://schemas.openxmlformats.org/officeDocument/2006/relationships/hyperlink" Target="https://login.consultant.ru/link/?req=doc&amp;base=LAW&amp;n=45074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4922" TargetMode="External"/><Relationship Id="rId11" Type="http://schemas.openxmlformats.org/officeDocument/2006/relationships/hyperlink" Target="https://login.consultant.ru/link/?req=doc&amp;base=LAW&amp;n=450749&amp;dst=100012" TargetMode="External"/><Relationship Id="rId5" Type="http://schemas.openxmlformats.org/officeDocument/2006/relationships/hyperlink" Target="https://login.consultant.ru/link/?req=doc&amp;base=LAW&amp;n=461085&amp;dst=102605" TargetMode="External"/><Relationship Id="rId15" Type="http://schemas.openxmlformats.org/officeDocument/2006/relationships/hyperlink" Target="https://login.consultant.ru/link/?req=doc&amp;base=LAW&amp;n=461085&amp;dst=1014" TargetMode="External"/><Relationship Id="rId10" Type="http://schemas.openxmlformats.org/officeDocument/2006/relationships/hyperlink" Target="https://login.consultant.ru/link/?req=doc&amp;base=LAW&amp;n=370888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633&amp;dst=100249" TargetMode="External"/><Relationship Id="rId14" Type="http://schemas.openxmlformats.org/officeDocument/2006/relationships/hyperlink" Target="https://login.consultant.ru/link/?req=doc&amp;base=LAW&amp;n=46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2647</Words>
  <Characters>15090</Characters>
  <Application>Microsoft Office Word</Application>
  <DocSecurity>0</DocSecurity>
  <Lines>125</Lines>
  <Paragraphs>35</Paragraphs>
  <ScaleCrop>false</ScaleCrop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u1533</dc:creator>
  <cp:keywords/>
  <dc:description/>
  <cp:lastModifiedBy>u1533</cp:lastModifiedBy>
  <cp:revision>1</cp:revision>
  <dcterms:created xsi:type="dcterms:W3CDTF">2023-12-26T09:36:00Z</dcterms:created>
  <dcterms:modified xsi:type="dcterms:W3CDTF">2023-12-26T09:36:00Z</dcterms:modified>
</cp:coreProperties>
</file>