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074EEC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074EEC">
        <w:rPr>
          <w:b/>
          <w:noProof/>
          <w:spacing w:val="30"/>
        </w:rPr>
        <w:drawing>
          <wp:inline distT="0" distB="0" distL="0" distR="0" wp14:anchorId="384D10E2" wp14:editId="7F8D810B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074EEC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074EEC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074EE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4EEC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074EEC" w:rsidRDefault="000303A6" w:rsidP="000303A6">
      <w:pPr>
        <w:jc w:val="center"/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074EEC">
        <w:rPr>
          <w:rFonts w:ascii="Times New Roman" w:hAnsi="Times New Roman" w:cs="Times New Roman"/>
        </w:rPr>
        <w:t>г</w:t>
      </w:r>
      <w:proofErr w:type="gramEnd"/>
      <w:r w:rsidRPr="00074EEC">
        <w:rPr>
          <w:rFonts w:ascii="Times New Roman" w:hAnsi="Times New Roman" w:cs="Times New Roman"/>
        </w:rPr>
        <w:t xml:space="preserve"> Липецк</w:t>
      </w:r>
    </w:p>
    <w:p w:rsidR="00C815A6" w:rsidRPr="00074EEC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074EE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1E51CA" w:rsidP="00C7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0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4D94" w:rsidRPr="00074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EE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445AC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074E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 w:rsidRPr="00074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074EE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C815A6" w:rsidP="00106A37">
            <w:pPr>
              <w:rPr>
                <w:lang w:val="en-US"/>
              </w:rPr>
            </w:pP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C5728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6A37">
              <w:rPr>
                <w:rFonts w:ascii="Times New Roman" w:hAnsi="Times New Roman" w:cs="Times New Roman"/>
                <w:bCs/>
                <w:sz w:val="28"/>
                <w:szCs w:val="28"/>
              </w:rPr>
              <w:t>267</w:t>
            </w:r>
          </w:p>
        </w:tc>
      </w:tr>
    </w:tbl>
    <w:p w:rsidR="00A80727" w:rsidRPr="00074EEC" w:rsidRDefault="00A80727" w:rsidP="007D278A">
      <w:pPr>
        <w:spacing w:line="264" w:lineRule="auto"/>
        <w:jc w:val="center"/>
        <w:rPr>
          <w:lang w:val="en-US"/>
        </w:rPr>
      </w:pPr>
    </w:p>
    <w:p w:rsidR="00F60F15" w:rsidRPr="00074EEC" w:rsidRDefault="006A1013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О </w:t>
      </w:r>
      <w:r w:rsidR="007D278A" w:rsidRPr="00074EE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074EEC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074EE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Pr="00074EEC" w:rsidRDefault="003C02DB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№ 411 «Об утверждении плана контрольных мероприятий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A6" w:rsidRPr="00074EEC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074EEC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C77" w:rsidRPr="00074EEC" w:rsidRDefault="00F74C77" w:rsidP="001E12DE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601DE" w:rsidRPr="00074E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33E91" w:rsidRPr="00074EEC">
        <w:rPr>
          <w:rFonts w:ascii="Times New Roman" w:hAnsi="Times New Roman" w:cs="Times New Roman"/>
          <w:sz w:val="28"/>
          <w:szCs w:val="28"/>
        </w:rPr>
        <w:t xml:space="preserve">На основании п. 18 федерального стандарта внутреннего государственного (муниципального) финансового контроля </w:t>
      </w:r>
      <w:r w:rsidRPr="00074EEC">
        <w:rPr>
          <w:rFonts w:ascii="Times New Roman" w:hAnsi="Times New Roman" w:cs="Times New Roman"/>
          <w:sz w:val="28"/>
          <w:szCs w:val="28"/>
        </w:rPr>
        <w:t>«Планирование проверок, ревизий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33E91" w:rsidRPr="00074EEC">
        <w:rPr>
          <w:rFonts w:ascii="Times New Roman" w:hAnsi="Times New Roman" w:cs="Times New Roman"/>
          <w:sz w:val="28"/>
          <w:szCs w:val="28"/>
        </w:rPr>
        <w:t>и обследований», утвержденного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33E91" w:rsidRPr="00074EEC">
        <w:rPr>
          <w:rFonts w:ascii="Times New Roman" w:hAnsi="Times New Roman" w:cs="Times New Roman"/>
          <w:sz w:val="28"/>
          <w:szCs w:val="28"/>
        </w:rPr>
        <w:t>ем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№208</w:t>
      </w:r>
      <w:r w:rsidR="0010338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74EEC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</w:t>
      </w:r>
      <w:r w:rsidR="0010338C">
        <w:rPr>
          <w:rFonts w:ascii="Times New Roman" w:hAnsi="Times New Roman" w:cs="Times New Roman"/>
          <w:sz w:val="28"/>
          <w:szCs w:val="28"/>
        </w:rPr>
        <w:t>,</w:t>
      </w:r>
      <w:r w:rsidRPr="00074EEC">
        <w:rPr>
          <w:rFonts w:ascii="Times New Roman" w:hAnsi="Times New Roman" w:cs="Times New Roman"/>
          <w:sz w:val="28"/>
          <w:szCs w:val="28"/>
        </w:rPr>
        <w:t xml:space="preserve">  сроков проведения контрольных мероприятий, проверяемого периода, структурных подразделений органа контроля</w:t>
      </w:r>
      <w:proofErr w:type="gramEnd"/>
      <w:r w:rsidRPr="00074E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4EE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074EEC">
        <w:rPr>
          <w:rFonts w:ascii="Times New Roman" w:hAnsi="Times New Roman" w:cs="Times New Roman"/>
          <w:sz w:val="28"/>
          <w:szCs w:val="28"/>
        </w:rPr>
        <w:t xml:space="preserve"> за проведение контрольного мероприятия),</w:t>
      </w:r>
    </w:p>
    <w:p w:rsidR="00F74C77" w:rsidRPr="00074EEC" w:rsidRDefault="00F74C77" w:rsidP="00F74C77">
      <w:pPr>
        <w:widowControl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074EEC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074EEC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56A52" w:rsidRPr="00074EEC" w:rsidRDefault="009F6E82" w:rsidP="001E12DE">
      <w:pPr>
        <w:widowControl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074EEC">
        <w:rPr>
          <w:rFonts w:ascii="Times New Roman" w:hAnsi="Times New Roman" w:cs="Times New Roman"/>
          <w:sz w:val="28"/>
          <w:szCs w:val="28"/>
        </w:rPr>
        <w:t>1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91D7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074EEC">
        <w:rPr>
          <w:rFonts w:ascii="Times New Roman" w:hAnsi="Times New Roman" w:cs="Times New Roman"/>
          <w:sz w:val="28"/>
          <w:szCs w:val="28"/>
        </w:rPr>
        <w:t>в</w:t>
      </w:r>
      <w:r w:rsidR="00124B00" w:rsidRPr="00074EEC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№ 411 «Об утверждении </w:t>
      </w:r>
      <w:proofErr w:type="gramStart"/>
      <w:r w:rsidR="000820CE" w:rsidRPr="00074EEC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0820CE" w:rsidRPr="00074EEC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в сфере бюджетных отношений на 2021 год»</w:t>
      </w:r>
      <w:r w:rsidR="007D278A" w:rsidRPr="00074EE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074EEC">
        <w:rPr>
          <w:rFonts w:ascii="Times New Roman" w:hAnsi="Times New Roman" w:cs="Times New Roman"/>
          <w:sz w:val="28"/>
          <w:szCs w:val="28"/>
        </w:rPr>
        <w:t>:</w:t>
      </w:r>
      <w:r w:rsidR="00656A52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B6" w:rsidRPr="00074EEC" w:rsidRDefault="00656A52" w:rsidP="00F74C77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1E12DE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  <w:r w:rsidRPr="00074EEC">
        <w:rPr>
          <w:rFonts w:ascii="Times New Roman" w:hAnsi="Times New Roman" w:cs="Times New Roman"/>
          <w:sz w:val="28"/>
          <w:szCs w:val="28"/>
        </w:rPr>
        <w:t>приложение к приказу изложить в следующей редакции:</w:t>
      </w:r>
    </w:p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64"/>
        <w:gridCol w:w="1927"/>
        <w:gridCol w:w="5053"/>
        <w:gridCol w:w="1624"/>
        <w:gridCol w:w="1632"/>
        <w:gridCol w:w="1403"/>
        <w:gridCol w:w="537"/>
      </w:tblGrid>
      <w:tr w:rsidR="00973CB6" w:rsidRPr="00074EEC" w:rsidTr="00973CB6">
        <w:trPr>
          <w:gridAfter w:val="1"/>
          <w:wAfter w:w="537" w:type="dxa"/>
          <w:trHeight w:val="2025"/>
        </w:trPr>
        <w:tc>
          <w:tcPr>
            <w:tcW w:w="1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к приказу управления финансов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от 15 декабря 2020 года № 411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«Об утверждении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контрольных мероприятий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управления финансов Липецкой области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    в сфере бюджетных отношений на 2021 год»</w:t>
            </w:r>
          </w:p>
        </w:tc>
      </w:tr>
      <w:tr w:rsidR="00973CB6" w:rsidRPr="00074EEC" w:rsidTr="00973CB6">
        <w:trPr>
          <w:gridAfter w:val="1"/>
          <w:wAfter w:w="537" w:type="dxa"/>
          <w:trHeight w:val="322"/>
        </w:trPr>
        <w:tc>
          <w:tcPr>
            <w:tcW w:w="14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2021 год</w:t>
            </w:r>
          </w:p>
        </w:tc>
      </w:tr>
      <w:tr w:rsidR="00973CB6" w:rsidRPr="00074EEC" w:rsidTr="00973CB6">
        <w:trPr>
          <w:gridAfter w:val="1"/>
          <w:wAfter w:w="537" w:type="dxa"/>
          <w:trHeight w:val="1230"/>
        </w:trPr>
        <w:tc>
          <w:tcPr>
            <w:tcW w:w="14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CB6" w:rsidRPr="00074EEC" w:rsidTr="00973CB6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3CB6" w:rsidRPr="00074EEC" w:rsidTr="00973CB6">
        <w:trPr>
          <w:trHeight w:val="13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 проведения                                    контрольного                                             мероприятия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973CB6" w:rsidRPr="00074EEC" w:rsidTr="00973C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Уполномоченный                                                          по защите прав предпринимателей                                    в Липецкой области                 (ИНН 4825111510,                   ОГРН 1154827008874)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"Центр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области"                  (ИНН 4826139282,                    ОГРН 1194827006406)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675F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09.04.2019 - 3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1.12.2020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экономического                                   развития                                                Липецкой области                                                            (ИНН 4826073200,                             ОГРН 1104823009290)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инвестиций и инноваций                                               Липецкой области                                             (ИНН 4826055963,                                                   ОГРН 1074823006719)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внутренней политики Липецкой области                                      (ИНН 4826067782,                                                   ОГРН 1094823006255)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"Аппарат Общественной палаты Липецкой области"                   (ИНН 4825124477,                       ОГРН 1174827009610)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C64DA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46601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</w:t>
            </w:r>
            <w:r w:rsidR="0046601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"Региональный           центр подготовки граждан Российской Федерации к военной службе и военно-патриотического воспитания населения Липецкой области"                   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4826088165,                                                                             ОГРН 1134827003387)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Товарищество                 собственников                        недвижимости                        "Цементник"                               (ИНН 4825008375,                                         ОГРН 1024840857095)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25424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5424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соблюдения условий соглашений (договоров)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01.08.2019 - 31.12.2020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Липецкого муниципального района Липецкой области Российской Федерации                 (ИНН 4813003245,                      ОГРН 1024800691431)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соблюдения целей, порядка и условий предоставления субсидии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образования администрации Липецкого муниципального района Липецкой области Российской Федерации                         (ИНН 4813000050,                            ОГРН 1024800689539)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074EEC" w:rsidTr="001E12DE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EC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администрации Липецкого муниципального района Липецкой области </w:t>
            </w:r>
          </w:p>
          <w:p w:rsidR="001E12DE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4813000029,                             ОГРН1024800690265)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DE" w:rsidRPr="00074EEC" w:rsidRDefault="001E12DE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3CB6" w:rsidRPr="00074EEC" w:rsidTr="001E12DE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                          (ИНН 4813003020,                               ОГРН 1024800690320)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Введенский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Вербиловский сельсовет Липецкого муниципального района Липецкой области Российской Федерации                          (ИНН 4813000893,                                 ОГРН 1024800690310)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Вербиловский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4813000854,                        ОГРН 1024800689671)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Частодубравский сельсовет Липецкого муниципального района Липецкой области Российской Федерации                          (ИНН 4813000727,                             ОГРН 1024800689737)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Частодубравский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7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(ИНН 4813000903,                              ОГРН 1024800690309)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  (ИНН 4813000808,                     ОГРН 1024800690463)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4813000766,                         ОГРН 1024800690397)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4813000773,                                   ОГРН 1024800689704)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Сырский сельсовет Липецкого муниципального района Липецкой области Российской Федерации                                  (ИНН 4813000741,                      ОГРН 1024800691057)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Сырский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 Добринского муниципального района Липецкой области Российской Федерации                         (ИНН 4804002990,                      ОГРН 1024800569870)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0A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Добринского муниципального района Липецкой области </w:t>
            </w:r>
          </w:p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4804000022,                           ОГРН 1024800569166)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финансов администрации Добринского муниципального района (ИНН 4804003104,                          ОГРН 1024800569144)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74EEC">
        <w:trPr>
          <w:trHeight w:val="8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                            (ИНН 4804003016,                          ОГРН 1024800567494)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Добринский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                           (ИНН 4804002887,                              ОГРН 1024800568210)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Богородицкий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  (ИНН 4802013266,                                    ОГРН 1114802000070)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сельского поселения Верхнематренский                  сельсовет Добринского муниципального района Липецкой области Российской Федерации                              (ИНН 4804003048,                                  ОГРН 1024800567472)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Верхнематренский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3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сельского поселения                          Новочеркутинский                         сельсовет Добринского муниципального района Липецкой области Российской Федерации                            (ИНН 4804003030,                               ОГРН 1024800569353)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Новочеркутинский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(ИНН 4804002774,                                    ОГРН 1024800567571)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                          (ИНН 4804003055,                             ОГРН 1024800567880)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Тихвинский сельсовет Добринского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                               (ИНН 4804002911,                              ОГРН 1024800567912)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                       (ИНН 4804002862,                         ОГРН 1024800568209)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Петровский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3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сельсовет Добринского муниципального района Липецкой области Российской Федерации                           (ИНН 4804002823,                                   ОГРН 1024800567505)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жилищн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коммунального хозяйства                                                 Липецкой области                                                (ИНН 4826037040,                                 ОГРН 1024840845040)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3461E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5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9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областного бюджета</w:t>
            </w:r>
            <w:r w:rsidR="007D36E8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областному бюджетному учреждению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"ЭКЖИЛФОНД".   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осуществления бюджетных инвестиций.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D27D57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Проверка 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бюджетное учреждение "Эксплуатация жилищного фонда"                                (ИНН 4826129358,                                    ОГРН 1164827076897)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</w:t>
            </w:r>
            <w:r w:rsidR="00C64DA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7D36E8">
        <w:trPr>
          <w:trHeight w:val="5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городского округа город Елец                                                  Липецкой области Российской Федерации                                                      (ИНН 4821003915,                                                        ОГРН 1024800794820)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609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</w:t>
            </w:r>
            <w:r w:rsidR="00976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</w:p>
        </w:tc>
      </w:tr>
      <w:tr w:rsidR="00973CB6" w:rsidRPr="00074EEC" w:rsidTr="00973CB6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 соблюдения целей, порядка и условий предоставления субвенции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3E2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 городского округа город Елец                               Липецкой области Российской Федерации                                     (ИНН 4821021520,                                              ОГРН 1094821000064)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субвенции из областного бюджета бюджету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округа город Елец.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сельского хозяйства                         Липецкой области                                              (ИНН 4825012212,                                       ОГРН 1024840860340)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61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D27D57">
        <w:trPr>
          <w:trHeight w:val="97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областного бюджета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областному бюджетному учреждению "Центр компетенций АПК Липецкой области".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7E3733">
        <w:trPr>
          <w:trHeight w:val="76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Областное бюджетное учреждение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"Центр компетенций АПК Липецкой области"</w:t>
            </w:r>
          </w:p>
          <w:p w:rsidR="0010338C" w:rsidRPr="0010338C" w:rsidRDefault="0010338C" w:rsidP="000A625A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(ИНН</w:t>
            </w:r>
            <w:r w:rsidR="000A625A" w:rsidRPr="000A62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4826138232</w:t>
            </w: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                                    ОГРН 1194827002853)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8166B8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1033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текущий период 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10338C" w:rsidRPr="00074EEC" w:rsidTr="00F82809">
        <w:trPr>
          <w:trHeight w:val="52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7E3733">
        <w:trPr>
          <w:trHeight w:val="52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40B8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(ИНН 4818001450,                                      ОГРН 1154827025231)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 соблюдения целей, порядка и условий предоставления субсидии из областного бюджета бюджету</w:t>
            </w:r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соблюдения целей, порядка и условий предоставления субвенции из областного бюджета бюджету</w:t>
            </w:r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4A7163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63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</w:t>
            </w:r>
          </w:p>
          <w:p w:rsidR="00973CB6" w:rsidRPr="00074EEC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4818002189,                                       ОГРН 1024800770543)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4A7163">
        <w:trPr>
          <w:trHeight w:val="19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 города Чаплыгина Липецкой области Российской Федерации                              (ИНН 4813008028,                              ОГРН 1064813001274)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из областного бюджета бюджету </w:t>
            </w:r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поселения города Чаплыгина Липецкой области Российской Федерации.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4818001121,                                    ОГРН 1024800767738)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бласти Российской Федерации.</w:t>
            </w:r>
            <w:proofErr w:type="gramStart"/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4818001259,                                    ОГРН 1024800767463)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Дубовской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4818001185,                                       ОГРН 1024800767870)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Шишкинский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(ИНН 4818001266,                                  ОГРН 1024800767694)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Шишкинский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4818001192,                                 ОГРН 1024800768035)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Жабинский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4818001386,                                        ОГРН 1024800767408)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Жабинский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A7163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4818001298,                                ОГРН 1024800767628)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72860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40B8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4818001315,                                   ОГРН 1024800767683)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Лозовский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4818001682,                              ОГРН 1024800767386)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Лозовский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4818001347,                                             ОГРН 1024800768080)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    строительства                            и архитектуры                                        Липецкой области                                                       (ИНН 4826044489,                                         ОГРН 1044800210608)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85231">
        <w:trPr>
          <w:trHeight w:val="5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8523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985231" w:rsidRPr="00074E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88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субсидий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бюджета 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областному бюджетному учреждению 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градостроительства Липецкой области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"Управление капитального строительства Липецкой области"                                     (ИНН 4826008716,                                           ОГРН 1024800831307)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8166B8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973CB6">
          <w:pgSz w:w="16838" w:h="11906" w:orient="landscape"/>
          <w:pgMar w:top="1134" w:right="1418" w:bottom="851" w:left="851" w:header="709" w:footer="709" w:gutter="0"/>
          <w:cols w:space="708"/>
          <w:noEndnote/>
          <w:docGrid w:linePitch="360"/>
        </w:sectPr>
      </w:pPr>
    </w:p>
    <w:p w:rsidR="00825962" w:rsidRPr="00074EEC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074EEC">
        <w:rPr>
          <w:rFonts w:ascii="Times New Roman" w:hAnsi="Times New Roman" w:cs="Times New Roman"/>
          <w:sz w:val="28"/>
          <w:szCs w:val="28"/>
        </w:rPr>
        <w:t>О</w:t>
      </w:r>
      <w:r w:rsidR="00825962" w:rsidRPr="00074EEC">
        <w:rPr>
          <w:rFonts w:ascii="Times New Roman" w:hAnsi="Times New Roman" w:cs="Times New Roman"/>
          <w:sz w:val="28"/>
          <w:szCs w:val="28"/>
        </w:rPr>
        <w:t>тделу</w:t>
      </w:r>
      <w:r w:rsidR="009F6E82" w:rsidRPr="00074EEC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074E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074EEC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074EEC">
        <w:rPr>
          <w:rFonts w:ascii="Times New Roman" w:hAnsi="Times New Roman" w:cs="Times New Roman"/>
          <w:sz w:val="28"/>
          <w:szCs w:val="28"/>
        </w:rPr>
        <w:t xml:space="preserve"> Л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C3D61" w:rsidRPr="00074EEC">
        <w:rPr>
          <w:rFonts w:ascii="Times New Roman" w:hAnsi="Times New Roman" w:cs="Times New Roman"/>
          <w:sz w:val="28"/>
          <w:szCs w:val="28"/>
        </w:rPr>
        <w:t>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825962" w:rsidRPr="00074EEC">
        <w:rPr>
          <w:rFonts w:ascii="Times New Roman" w:hAnsi="Times New Roman" w:cs="Times New Roman"/>
          <w:sz w:val="28"/>
          <w:szCs w:val="28"/>
        </w:rPr>
        <w:t>)</w:t>
      </w:r>
      <w:r w:rsidR="00A43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074EEC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074EE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074EEC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</w:p>
    <w:p w:rsidR="00413A59" w:rsidRPr="00074EEC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074EEC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074EEC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074EEC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074EEC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074EEC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</w:t>
      </w:r>
      <w:r w:rsidR="001860B7" w:rsidRPr="00074EEC">
        <w:rPr>
          <w:rFonts w:ascii="Times New Roman" w:hAnsi="Times New Roman" w:cs="Times New Roman"/>
          <w:sz w:val="28"/>
          <w:szCs w:val="28"/>
        </w:rPr>
        <w:t>правления</w:t>
      </w: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>ф</w:t>
      </w:r>
      <w:r w:rsidR="001860B7" w:rsidRPr="00074EEC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074EEC">
        <w:rPr>
          <w:rFonts w:ascii="Times New Roman" w:hAnsi="Times New Roman" w:cs="Times New Roman"/>
          <w:sz w:val="28"/>
          <w:szCs w:val="28"/>
        </w:rPr>
        <w:t>обла</w:t>
      </w:r>
      <w:r w:rsidR="001860B7" w:rsidRPr="00074EEC">
        <w:rPr>
          <w:rFonts w:ascii="Times New Roman" w:hAnsi="Times New Roman" w:cs="Times New Roman"/>
          <w:sz w:val="28"/>
          <w:szCs w:val="28"/>
        </w:rPr>
        <w:t>сти</w:t>
      </w:r>
      <w:r w:rsidR="00DC3FD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074EEC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074E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>М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074EEC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8C12F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C6A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8C12F5" w:rsidRPr="00DA4688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12F5" w:rsidRPr="00DA4688" w:rsidSect="00973CB6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5F57"/>
    <w:rsid w:val="000271C7"/>
    <w:rsid w:val="000303A6"/>
    <w:rsid w:val="00042DCB"/>
    <w:rsid w:val="0005183A"/>
    <w:rsid w:val="00062F2E"/>
    <w:rsid w:val="0006384F"/>
    <w:rsid w:val="000675B9"/>
    <w:rsid w:val="00067C77"/>
    <w:rsid w:val="00074EEC"/>
    <w:rsid w:val="000820CE"/>
    <w:rsid w:val="00093E87"/>
    <w:rsid w:val="00095161"/>
    <w:rsid w:val="000A24C8"/>
    <w:rsid w:val="000A625A"/>
    <w:rsid w:val="000B7594"/>
    <w:rsid w:val="000D45FD"/>
    <w:rsid w:val="0010338C"/>
    <w:rsid w:val="00106A37"/>
    <w:rsid w:val="00107C5E"/>
    <w:rsid w:val="00112EFD"/>
    <w:rsid w:val="00117B8B"/>
    <w:rsid w:val="00124B00"/>
    <w:rsid w:val="001340B8"/>
    <w:rsid w:val="00134CF0"/>
    <w:rsid w:val="0013675F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35AA"/>
    <w:rsid w:val="001D4A6F"/>
    <w:rsid w:val="001E12DE"/>
    <w:rsid w:val="001E51CA"/>
    <w:rsid w:val="00207F99"/>
    <w:rsid w:val="0021021B"/>
    <w:rsid w:val="002202D2"/>
    <w:rsid w:val="00233EBC"/>
    <w:rsid w:val="00240B43"/>
    <w:rsid w:val="00242633"/>
    <w:rsid w:val="0024649A"/>
    <w:rsid w:val="0025424E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253AD"/>
    <w:rsid w:val="00335536"/>
    <w:rsid w:val="003461ED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56BC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01D"/>
    <w:rsid w:val="00466B65"/>
    <w:rsid w:val="004775D0"/>
    <w:rsid w:val="00480EE5"/>
    <w:rsid w:val="00485F3E"/>
    <w:rsid w:val="00495AA9"/>
    <w:rsid w:val="004A446A"/>
    <w:rsid w:val="004A7163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2FEF"/>
    <w:rsid w:val="004F474F"/>
    <w:rsid w:val="005007E7"/>
    <w:rsid w:val="005158E0"/>
    <w:rsid w:val="00515CAD"/>
    <w:rsid w:val="0053384D"/>
    <w:rsid w:val="00543240"/>
    <w:rsid w:val="005505E4"/>
    <w:rsid w:val="00552D14"/>
    <w:rsid w:val="00565BA7"/>
    <w:rsid w:val="00572860"/>
    <w:rsid w:val="00584282"/>
    <w:rsid w:val="0058632A"/>
    <w:rsid w:val="005A6280"/>
    <w:rsid w:val="005B7CC7"/>
    <w:rsid w:val="005C4C2D"/>
    <w:rsid w:val="005C7773"/>
    <w:rsid w:val="005D4C0E"/>
    <w:rsid w:val="005D6B2E"/>
    <w:rsid w:val="005E372F"/>
    <w:rsid w:val="005E5C94"/>
    <w:rsid w:val="005F6DC1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56A52"/>
    <w:rsid w:val="006711B2"/>
    <w:rsid w:val="00691203"/>
    <w:rsid w:val="006A1013"/>
    <w:rsid w:val="006A34C0"/>
    <w:rsid w:val="006B61CC"/>
    <w:rsid w:val="006B68D7"/>
    <w:rsid w:val="006C32A5"/>
    <w:rsid w:val="0070171C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601DE"/>
    <w:rsid w:val="00771B1E"/>
    <w:rsid w:val="00792E04"/>
    <w:rsid w:val="007A0705"/>
    <w:rsid w:val="007B076C"/>
    <w:rsid w:val="007B2E87"/>
    <w:rsid w:val="007B519E"/>
    <w:rsid w:val="007B5E4F"/>
    <w:rsid w:val="007C113C"/>
    <w:rsid w:val="007C47EC"/>
    <w:rsid w:val="007D278A"/>
    <w:rsid w:val="007D36E8"/>
    <w:rsid w:val="007F75E6"/>
    <w:rsid w:val="00803C82"/>
    <w:rsid w:val="00810FB2"/>
    <w:rsid w:val="008138F0"/>
    <w:rsid w:val="008166B8"/>
    <w:rsid w:val="00816775"/>
    <w:rsid w:val="00825962"/>
    <w:rsid w:val="008268E5"/>
    <w:rsid w:val="008305C9"/>
    <w:rsid w:val="0083264E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C5017"/>
    <w:rsid w:val="008D38BA"/>
    <w:rsid w:val="008D4723"/>
    <w:rsid w:val="008D618C"/>
    <w:rsid w:val="009038C8"/>
    <w:rsid w:val="00906578"/>
    <w:rsid w:val="00907EB2"/>
    <w:rsid w:val="009121F1"/>
    <w:rsid w:val="00921DBE"/>
    <w:rsid w:val="009244CA"/>
    <w:rsid w:val="00927F4C"/>
    <w:rsid w:val="00945658"/>
    <w:rsid w:val="00953124"/>
    <w:rsid w:val="009549F4"/>
    <w:rsid w:val="009564A4"/>
    <w:rsid w:val="00973CB6"/>
    <w:rsid w:val="00974545"/>
    <w:rsid w:val="00976093"/>
    <w:rsid w:val="009820F1"/>
    <w:rsid w:val="0098523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46CC3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64DA3"/>
    <w:rsid w:val="00C730AC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3C09"/>
    <w:rsid w:val="00D046B2"/>
    <w:rsid w:val="00D056CB"/>
    <w:rsid w:val="00D05758"/>
    <w:rsid w:val="00D103E3"/>
    <w:rsid w:val="00D13825"/>
    <w:rsid w:val="00D20345"/>
    <w:rsid w:val="00D21408"/>
    <w:rsid w:val="00D27D57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07567"/>
    <w:rsid w:val="00E12E29"/>
    <w:rsid w:val="00E27C40"/>
    <w:rsid w:val="00E50B32"/>
    <w:rsid w:val="00E54B78"/>
    <w:rsid w:val="00E5539A"/>
    <w:rsid w:val="00E5670A"/>
    <w:rsid w:val="00E66275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503E2"/>
    <w:rsid w:val="00F60F15"/>
    <w:rsid w:val="00F66CE2"/>
    <w:rsid w:val="00F74C77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2AF3-CECC-474A-B652-72AB3E2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3</cp:revision>
  <cp:lastPrinted>2021-07-12T08:11:00Z</cp:lastPrinted>
  <dcterms:created xsi:type="dcterms:W3CDTF">2021-07-13T07:14:00Z</dcterms:created>
  <dcterms:modified xsi:type="dcterms:W3CDTF">2021-07-13T07:14:00Z</dcterms:modified>
</cp:coreProperties>
</file>