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6.xml" ContentType="application/vnd.openxmlformats-officedocument.drawingml.chartshapes+xml"/>
  <Override PartName="/word/charts/chart12.xml" ContentType="application/vnd.openxmlformats-officedocument.drawingml.chart+xml"/>
  <Override PartName="/word/drawings/drawing7.xml" ContentType="application/vnd.openxmlformats-officedocument.drawingml.chartshapes+xml"/>
  <Override PartName="/word/charts/chart13.xml" ContentType="application/vnd.openxmlformats-officedocument.drawingml.chart+xml"/>
  <Override PartName="/word/drawings/drawing8.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069" w:rsidRPr="00855C7E" w:rsidRDefault="00855C7E" w:rsidP="00D972CE">
      <w:pPr>
        <w:pStyle w:val="10"/>
      </w:pPr>
      <w:bookmarkStart w:id="0" w:name="_Toc465079436"/>
      <w:bookmarkStart w:id="1" w:name="_Toc464591310"/>
      <w:bookmarkStart w:id="2" w:name="_Toc482707578"/>
      <w:bookmarkStart w:id="3" w:name="_Toc486818810"/>
      <w:bookmarkStart w:id="4" w:name="_Toc492479252"/>
      <w:bookmarkStart w:id="5" w:name="_Toc494788022"/>
      <w:bookmarkStart w:id="6" w:name="_Toc518648642"/>
      <w:bookmarkStart w:id="7" w:name="_GoBack"/>
      <w:bookmarkEnd w:id="7"/>
      <w:r w:rsidRPr="00855C7E">
        <w:t>ПРОЕКТ</w:t>
      </w:r>
      <w:bookmarkEnd w:id="0"/>
      <w:bookmarkEnd w:id="1"/>
      <w:bookmarkEnd w:id="2"/>
      <w:bookmarkEnd w:id="3"/>
      <w:bookmarkEnd w:id="4"/>
      <w:bookmarkEnd w:id="5"/>
      <w:bookmarkEnd w:id="6"/>
    </w:p>
    <w:p w:rsidR="004E2069" w:rsidRDefault="00FB09B3" w:rsidP="007413F5">
      <w:pPr>
        <w:spacing w:after="0"/>
        <w:jc w:val="center"/>
        <w:rPr>
          <w:rFonts w:ascii="Times New Roman" w:hAnsi="Times New Roman"/>
          <w:b/>
          <w:sz w:val="32"/>
          <w:szCs w:val="32"/>
        </w:rPr>
      </w:pPr>
      <w:r>
        <w:rPr>
          <w:rFonts w:ascii="Times New Roman" w:hAnsi="Times New Roman"/>
          <w:b/>
          <w:noProof/>
          <w:sz w:val="32"/>
          <w:szCs w:val="32"/>
          <w:lang w:eastAsia="ru-RU"/>
        </w:rPr>
        <w:drawing>
          <wp:inline distT="0" distB="0" distL="0" distR="0" wp14:anchorId="094B15FB" wp14:editId="2096E2FA">
            <wp:extent cx="1219200" cy="121920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4E2069" w:rsidRDefault="004E2069" w:rsidP="007413F5">
      <w:pPr>
        <w:spacing w:after="0"/>
        <w:jc w:val="center"/>
        <w:rPr>
          <w:rFonts w:ascii="Times New Roman" w:hAnsi="Times New Roman"/>
          <w:b/>
          <w:sz w:val="32"/>
          <w:szCs w:val="32"/>
        </w:rPr>
      </w:pPr>
    </w:p>
    <w:p w:rsidR="004E2069" w:rsidRPr="00695BB1" w:rsidRDefault="004E2069" w:rsidP="007413F5">
      <w:pPr>
        <w:spacing w:after="0"/>
        <w:jc w:val="center"/>
        <w:rPr>
          <w:rFonts w:ascii="Times New Roman" w:hAnsi="Times New Roman"/>
          <w:b/>
          <w:sz w:val="32"/>
          <w:szCs w:val="32"/>
        </w:rPr>
      </w:pPr>
      <w:r w:rsidRPr="00695BB1">
        <w:rPr>
          <w:rFonts w:ascii="Times New Roman" w:hAnsi="Times New Roman"/>
          <w:b/>
          <w:sz w:val="32"/>
          <w:szCs w:val="32"/>
        </w:rPr>
        <w:t>Министерство финансов</w:t>
      </w:r>
    </w:p>
    <w:p w:rsidR="004E2069" w:rsidRDefault="004E2069" w:rsidP="007413F5">
      <w:pPr>
        <w:spacing w:after="0"/>
        <w:jc w:val="center"/>
        <w:rPr>
          <w:rFonts w:ascii="Times New Roman" w:hAnsi="Times New Roman"/>
        </w:rPr>
      </w:pPr>
      <w:r w:rsidRPr="00695BB1">
        <w:rPr>
          <w:rFonts w:ascii="Times New Roman" w:hAnsi="Times New Roman"/>
          <w:b/>
          <w:sz w:val="32"/>
          <w:szCs w:val="32"/>
        </w:rPr>
        <w:t>Российской Федерации</w:t>
      </w:r>
      <w:r w:rsidRPr="00695BB1">
        <w:rPr>
          <w:rFonts w:ascii="Times New Roman" w:hAnsi="Times New Roman"/>
        </w:rPr>
        <w:t xml:space="preserve"> </w:t>
      </w:r>
    </w:p>
    <w:p w:rsidR="00997894" w:rsidRPr="00695BB1" w:rsidRDefault="00997894" w:rsidP="007413F5">
      <w:pPr>
        <w:spacing w:after="0"/>
        <w:jc w:val="center"/>
        <w:rPr>
          <w:rFonts w:ascii="Times New Roman" w:hAnsi="Times New Roman"/>
        </w:rPr>
      </w:pPr>
    </w:p>
    <w:p w:rsidR="004E2069" w:rsidRPr="00695BB1" w:rsidRDefault="004E2069" w:rsidP="007413F5">
      <w:pPr>
        <w:spacing w:after="0"/>
        <w:jc w:val="center"/>
        <w:rPr>
          <w:rFonts w:ascii="Times New Roman" w:hAnsi="Times New Roman"/>
        </w:rPr>
      </w:pPr>
    </w:p>
    <w:p w:rsidR="004E2069" w:rsidRPr="00695BB1" w:rsidRDefault="004E2069" w:rsidP="007413F5">
      <w:pPr>
        <w:spacing w:after="0"/>
        <w:jc w:val="center"/>
        <w:rPr>
          <w:rFonts w:ascii="Times New Roman" w:hAnsi="Times New Roman"/>
        </w:rPr>
      </w:pPr>
    </w:p>
    <w:p w:rsidR="004E2069" w:rsidRPr="00695BB1" w:rsidRDefault="004E2069" w:rsidP="007413F5">
      <w:pPr>
        <w:spacing w:after="0"/>
        <w:jc w:val="center"/>
        <w:rPr>
          <w:rFonts w:ascii="Times New Roman" w:hAnsi="Times New Roman"/>
        </w:rPr>
      </w:pPr>
    </w:p>
    <w:p w:rsidR="004E2069" w:rsidRPr="00695BB1" w:rsidRDefault="004E2069" w:rsidP="007413F5">
      <w:pPr>
        <w:spacing w:after="0"/>
        <w:jc w:val="center"/>
        <w:rPr>
          <w:rFonts w:ascii="Times New Roman" w:hAnsi="Times New Roman"/>
        </w:rPr>
      </w:pPr>
    </w:p>
    <w:p w:rsidR="004E2069" w:rsidRPr="00695BB1" w:rsidRDefault="00855C7E" w:rsidP="007413F5">
      <w:pPr>
        <w:spacing w:after="0"/>
        <w:jc w:val="center"/>
        <w:rPr>
          <w:rFonts w:ascii="Times New Roman" w:hAnsi="Times New Roman"/>
        </w:rPr>
      </w:pPr>
      <w:r>
        <w:rPr>
          <w:noProof/>
          <w:lang w:eastAsia="ru-RU"/>
        </w:rPr>
        <mc:AlternateContent>
          <mc:Choice Requires="wps">
            <w:drawing>
              <wp:anchor distT="0" distB="0" distL="114300" distR="114300" simplePos="0" relativeHeight="251651584" behindDoc="0" locked="0" layoutInCell="1" allowOverlap="1" wp14:anchorId="578E4B6A" wp14:editId="08EFFD00">
                <wp:simplePos x="0" y="0"/>
                <wp:positionH relativeFrom="margin">
                  <wp:align>center</wp:align>
                </wp:positionH>
                <wp:positionV relativeFrom="page">
                  <wp:posOffset>4613148</wp:posOffset>
                </wp:positionV>
                <wp:extent cx="7113905" cy="3881120"/>
                <wp:effectExtent l="0" t="0" r="0" b="5080"/>
                <wp:wrapSquare wrapText="bothSides"/>
                <wp:docPr id="2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905" cy="388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7132" w:rsidRPr="00E11E0D" w:rsidRDefault="003A7132" w:rsidP="00953E37">
                            <w:pPr>
                              <w:jc w:val="right"/>
                              <w:rPr>
                                <w:color w:val="4F81BD"/>
                                <w:sz w:val="64"/>
                                <w:szCs w:val="64"/>
                              </w:rPr>
                            </w:pPr>
                            <w:r w:rsidRPr="002C074D">
                              <w:rPr>
                                <w:rFonts w:ascii="Times New Roman" w:hAnsi="Times New Roman"/>
                                <w:sz w:val="56"/>
                                <w:szCs w:val="56"/>
                              </w:rPr>
                              <w:t>ОСНОВНЫЕ НАПРАВЛЕНИЯ БЮДЖЕТНОЙ</w:t>
                            </w:r>
                            <w:r>
                              <w:rPr>
                                <w:rFonts w:ascii="Times New Roman" w:hAnsi="Times New Roman"/>
                                <w:sz w:val="56"/>
                                <w:szCs w:val="56"/>
                              </w:rPr>
                              <w:t>, НАЛОГОВОЙ И ТАМОЖЕННО-ТАРИФНОЙ</w:t>
                            </w:r>
                            <w:r w:rsidRPr="002C074D">
                              <w:rPr>
                                <w:rFonts w:ascii="Times New Roman" w:hAnsi="Times New Roman"/>
                                <w:sz w:val="56"/>
                                <w:szCs w:val="56"/>
                              </w:rPr>
                              <w:t xml:space="preserve"> ПОЛИТИКИ НА 201</w:t>
                            </w:r>
                            <w:r>
                              <w:rPr>
                                <w:rFonts w:ascii="Times New Roman" w:hAnsi="Times New Roman"/>
                                <w:sz w:val="56"/>
                                <w:szCs w:val="56"/>
                              </w:rPr>
                              <w:t>9</w:t>
                            </w:r>
                            <w:r w:rsidRPr="002C074D">
                              <w:rPr>
                                <w:rFonts w:ascii="Times New Roman" w:hAnsi="Times New Roman"/>
                                <w:sz w:val="56"/>
                                <w:szCs w:val="56"/>
                              </w:rPr>
                              <w:t xml:space="preserve"> ГОД И НА ПЛАНОВЫЙ ПЕРИОД 20</w:t>
                            </w:r>
                            <w:r>
                              <w:rPr>
                                <w:rFonts w:ascii="Times New Roman" w:hAnsi="Times New Roman"/>
                                <w:sz w:val="56"/>
                                <w:szCs w:val="56"/>
                              </w:rPr>
                              <w:t>20</w:t>
                            </w:r>
                            <w:r w:rsidRPr="002C074D">
                              <w:rPr>
                                <w:rFonts w:ascii="Times New Roman" w:hAnsi="Times New Roman"/>
                                <w:sz w:val="56"/>
                                <w:szCs w:val="56"/>
                              </w:rPr>
                              <w:t xml:space="preserve"> И 20</w:t>
                            </w:r>
                            <w:r>
                              <w:rPr>
                                <w:rFonts w:ascii="Times New Roman" w:hAnsi="Times New Roman"/>
                                <w:sz w:val="56"/>
                                <w:szCs w:val="56"/>
                              </w:rPr>
                              <w:t>21</w:t>
                            </w:r>
                            <w:r w:rsidRPr="002C074D">
                              <w:rPr>
                                <w:rFonts w:ascii="Times New Roman" w:hAnsi="Times New Roman"/>
                                <w:sz w:val="56"/>
                                <w:szCs w:val="56"/>
                              </w:rPr>
                              <w:t xml:space="preserve"> ГОДОВ</w:t>
                            </w:r>
                          </w:p>
                          <w:p w:rsidR="003A7132" w:rsidRPr="00E11E0D" w:rsidRDefault="003A7132" w:rsidP="00953E37">
                            <w:pPr>
                              <w:jc w:val="right"/>
                              <w:rPr>
                                <w:smallCaps/>
                                <w:color w:val="404040"/>
                                <w:sz w:val="36"/>
                                <w:szCs w:val="36"/>
                              </w:rPr>
                            </w:pPr>
                            <w:r w:rsidRPr="00E11E0D">
                              <w:rPr>
                                <w:color w:val="404040"/>
                                <w:sz w:val="36"/>
                                <w:szCs w:val="36"/>
                              </w:rPr>
                              <w:t xml:space="preserve">     </w:t>
                            </w:r>
                          </w:p>
                        </w:txbxContent>
                      </wps:txbx>
                      <wps:bodyPr rot="0" vert="horz" wrap="square" lIns="1600200" tIns="0" rIns="6858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4" o:spid="_x0000_s1026" type="#_x0000_t202" style="position:absolute;left:0;text-align:left;margin-left:0;margin-top:363.25pt;width:560.15pt;height:305.6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" filled="f" stroked="f" strokeweight=".5pt">
                <v:textbox inset="126pt,0,54pt,0">
                  <w:txbxContent>
                    <w:p w:rsidR="003A7132" w:rsidRPr="00E11E0D" w:rsidRDefault="003A7132" w:rsidP="00953E37">
                      <w:pPr>
                        <w:jc w:val="right"/>
                        <w:rPr>
                          <w:color w:val="4F81BD"/>
                          <w:sz w:val="64"/>
                          <w:szCs w:val="64"/>
                        </w:rPr>
                      </w:pPr>
                      <w:r w:rsidRPr="002C074D">
                        <w:rPr>
                          <w:rFonts w:ascii="Times New Roman" w:hAnsi="Times New Roman"/>
                          <w:sz w:val="56"/>
                          <w:szCs w:val="56"/>
                        </w:rPr>
                        <w:t>ОСНОВНЫЕ НАПРАВЛЕНИЯ БЮДЖЕТНОЙ</w:t>
                      </w:r>
                      <w:r>
                        <w:rPr>
                          <w:rFonts w:ascii="Times New Roman" w:hAnsi="Times New Roman"/>
                          <w:sz w:val="56"/>
                          <w:szCs w:val="56"/>
                        </w:rPr>
                        <w:t>, НАЛОГОВОЙ И ТАМОЖЕННО-ТАРИФНОЙ</w:t>
                      </w:r>
                      <w:r w:rsidRPr="002C074D">
                        <w:rPr>
                          <w:rFonts w:ascii="Times New Roman" w:hAnsi="Times New Roman"/>
                          <w:sz w:val="56"/>
                          <w:szCs w:val="56"/>
                        </w:rPr>
                        <w:t xml:space="preserve"> ПОЛИТИКИ НА 201</w:t>
                      </w:r>
                      <w:r>
                        <w:rPr>
                          <w:rFonts w:ascii="Times New Roman" w:hAnsi="Times New Roman"/>
                          <w:sz w:val="56"/>
                          <w:szCs w:val="56"/>
                        </w:rPr>
                        <w:t>9</w:t>
                      </w:r>
                      <w:r w:rsidRPr="002C074D">
                        <w:rPr>
                          <w:rFonts w:ascii="Times New Roman" w:hAnsi="Times New Roman"/>
                          <w:sz w:val="56"/>
                          <w:szCs w:val="56"/>
                        </w:rPr>
                        <w:t xml:space="preserve"> ГОД И НА ПЛАНОВЫЙ ПЕРИОД 20</w:t>
                      </w:r>
                      <w:r>
                        <w:rPr>
                          <w:rFonts w:ascii="Times New Roman" w:hAnsi="Times New Roman"/>
                          <w:sz w:val="56"/>
                          <w:szCs w:val="56"/>
                        </w:rPr>
                        <w:t>20</w:t>
                      </w:r>
                      <w:r w:rsidRPr="002C074D">
                        <w:rPr>
                          <w:rFonts w:ascii="Times New Roman" w:hAnsi="Times New Roman"/>
                          <w:sz w:val="56"/>
                          <w:szCs w:val="56"/>
                        </w:rPr>
                        <w:t xml:space="preserve"> И 20</w:t>
                      </w:r>
                      <w:r>
                        <w:rPr>
                          <w:rFonts w:ascii="Times New Roman" w:hAnsi="Times New Roman"/>
                          <w:sz w:val="56"/>
                          <w:szCs w:val="56"/>
                        </w:rPr>
                        <w:t>21</w:t>
                      </w:r>
                      <w:r w:rsidRPr="002C074D">
                        <w:rPr>
                          <w:rFonts w:ascii="Times New Roman" w:hAnsi="Times New Roman"/>
                          <w:sz w:val="56"/>
                          <w:szCs w:val="56"/>
                        </w:rPr>
                        <w:t xml:space="preserve"> ГОДОВ</w:t>
                      </w:r>
                    </w:p>
                    <w:p w:rsidR="003A7132" w:rsidRPr="00E11E0D" w:rsidRDefault="003A7132" w:rsidP="00953E37">
                      <w:pPr>
                        <w:jc w:val="right"/>
                        <w:rPr>
                          <w:smallCaps/>
                          <w:color w:val="404040"/>
                          <w:sz w:val="36"/>
                          <w:szCs w:val="36"/>
                        </w:rPr>
                      </w:pPr>
                      <w:r w:rsidRPr="00E11E0D">
                        <w:rPr>
                          <w:color w:val="404040"/>
                          <w:sz w:val="36"/>
                          <w:szCs w:val="36"/>
                        </w:rPr>
                        <w:t xml:space="preserve">     </w:t>
                      </w:r>
                    </w:p>
                  </w:txbxContent>
                </v:textbox>
                <w10:wrap type="square" anchorx="margin" anchory="page"/>
              </v:shape>
            </w:pict>
          </mc:Fallback>
        </mc:AlternateContent>
      </w:r>
    </w:p>
    <w:p w:rsidR="004E2069" w:rsidRPr="00695BB1" w:rsidRDefault="004E2069" w:rsidP="007413F5">
      <w:pPr>
        <w:spacing w:after="0"/>
        <w:jc w:val="center"/>
        <w:rPr>
          <w:rFonts w:ascii="Times New Roman" w:hAnsi="Times New Roman"/>
        </w:rPr>
      </w:pPr>
    </w:p>
    <w:p w:rsidR="004E2069" w:rsidRPr="00695BB1" w:rsidRDefault="004E2069" w:rsidP="007413F5">
      <w:pPr>
        <w:spacing w:after="0"/>
        <w:jc w:val="center"/>
        <w:rPr>
          <w:rFonts w:ascii="Times New Roman" w:hAnsi="Times New Roman"/>
        </w:rPr>
      </w:pPr>
    </w:p>
    <w:p w:rsidR="004E2069" w:rsidRPr="00695BB1" w:rsidRDefault="004E2069" w:rsidP="007413F5">
      <w:pPr>
        <w:spacing w:after="0"/>
        <w:jc w:val="center"/>
        <w:rPr>
          <w:rFonts w:ascii="Times New Roman" w:hAnsi="Times New Roman"/>
        </w:rPr>
      </w:pPr>
    </w:p>
    <w:p w:rsidR="004E2069" w:rsidRPr="00695BB1" w:rsidRDefault="004E2069" w:rsidP="007413F5">
      <w:pPr>
        <w:spacing w:after="0"/>
        <w:jc w:val="center"/>
        <w:rPr>
          <w:rFonts w:ascii="Times New Roman" w:hAnsi="Times New Roman"/>
        </w:rPr>
      </w:pPr>
    </w:p>
    <w:p w:rsidR="004E2069" w:rsidRPr="00695BB1" w:rsidRDefault="004E2069" w:rsidP="007413F5">
      <w:pPr>
        <w:spacing w:after="0"/>
        <w:jc w:val="center"/>
        <w:rPr>
          <w:rFonts w:ascii="Times New Roman" w:hAnsi="Times New Roman"/>
        </w:rPr>
      </w:pPr>
    </w:p>
    <w:p w:rsidR="004E2069" w:rsidRPr="00695BB1" w:rsidRDefault="004E2069" w:rsidP="007413F5">
      <w:pPr>
        <w:spacing w:after="0"/>
        <w:jc w:val="center"/>
        <w:rPr>
          <w:rFonts w:ascii="Times New Roman" w:hAnsi="Times New Roman"/>
        </w:rPr>
      </w:pPr>
    </w:p>
    <w:p w:rsidR="004E2069" w:rsidRPr="00695BB1" w:rsidRDefault="004E2069" w:rsidP="007413F5">
      <w:pPr>
        <w:spacing w:after="0"/>
        <w:jc w:val="center"/>
        <w:rPr>
          <w:rFonts w:ascii="Times New Roman" w:hAnsi="Times New Roman"/>
        </w:rPr>
      </w:pPr>
    </w:p>
    <w:p w:rsidR="004E2069" w:rsidRPr="00695BB1" w:rsidRDefault="004E2069" w:rsidP="007413F5">
      <w:pPr>
        <w:spacing w:after="0"/>
        <w:jc w:val="center"/>
        <w:rPr>
          <w:rFonts w:ascii="Times New Roman" w:hAnsi="Times New Roman"/>
        </w:rPr>
      </w:pPr>
      <w:r w:rsidRPr="00A106FE">
        <w:rPr>
          <w:rFonts w:ascii="Times New Roman" w:hAnsi="Times New Roman"/>
          <w:sz w:val="24"/>
          <w:szCs w:val="24"/>
        </w:rPr>
        <w:t>Москва, 201</w:t>
      </w:r>
      <w:r w:rsidR="00855C7E">
        <w:rPr>
          <w:rFonts w:ascii="Times New Roman" w:hAnsi="Times New Roman"/>
          <w:sz w:val="24"/>
          <w:szCs w:val="24"/>
        </w:rPr>
        <w:t>8</w:t>
      </w:r>
      <w:r w:rsidRPr="00695BB1">
        <w:rPr>
          <w:rFonts w:ascii="Times New Roman" w:hAnsi="Times New Roman"/>
        </w:rPr>
        <w:br w:type="page"/>
      </w:r>
    </w:p>
    <w:p w:rsidR="00CF1DF4" w:rsidRPr="00CF1DF4" w:rsidRDefault="004E2069" w:rsidP="00826ED1">
      <w:pPr>
        <w:pStyle w:val="af2"/>
        <w:spacing w:before="0" w:afterLines="60" w:after="144" w:line="288" w:lineRule="auto"/>
        <w:rPr>
          <w:rFonts w:eastAsiaTheme="minorEastAsia"/>
          <w:noProof/>
          <w:lang w:eastAsia="ru-RU"/>
        </w:rPr>
      </w:pPr>
      <w:r w:rsidRPr="00E63E11">
        <w:rPr>
          <w:b/>
          <w:lang w:val="ru-RU"/>
        </w:rPr>
        <w:lastRenderedPageBreak/>
        <w:t>Оглавление</w:t>
      </w:r>
      <w:r w:rsidRPr="00146B8D">
        <w:rPr>
          <w:sz w:val="24"/>
          <w:szCs w:val="24"/>
          <w:highlight w:val="lightGray"/>
        </w:rPr>
        <w:fldChar w:fldCharType="begin"/>
      </w:r>
      <w:r w:rsidRPr="00146B8D">
        <w:rPr>
          <w:sz w:val="24"/>
          <w:szCs w:val="24"/>
          <w:highlight w:val="lightGray"/>
        </w:rPr>
        <w:instrText xml:space="preserve"> TOC \o "1-3" \h \z \u </w:instrText>
      </w:r>
      <w:r w:rsidRPr="00146B8D">
        <w:rPr>
          <w:sz w:val="24"/>
          <w:szCs w:val="24"/>
          <w:highlight w:val="lightGray"/>
        </w:rPr>
        <w:fldChar w:fldCharType="separate"/>
      </w:r>
    </w:p>
    <w:p w:rsidR="00CF1DF4" w:rsidRPr="00CF1DF4" w:rsidRDefault="00003295">
      <w:pPr>
        <w:pStyle w:val="12"/>
        <w:tabs>
          <w:tab w:val="left" w:pos="440"/>
        </w:tabs>
        <w:rPr>
          <w:rFonts w:ascii="Times New Roman" w:eastAsiaTheme="minorEastAsia" w:hAnsi="Times New Roman"/>
          <w:noProof/>
          <w:lang w:eastAsia="ru-RU"/>
        </w:rPr>
      </w:pPr>
      <w:hyperlink w:anchor="_Toc518648643" w:history="1">
        <w:r w:rsidR="00CF1DF4" w:rsidRPr="00CF1DF4">
          <w:rPr>
            <w:rStyle w:val="af3"/>
            <w:rFonts w:ascii="Times New Roman" w:hAnsi="Times New Roman"/>
            <w:caps/>
            <w:noProof/>
          </w:rPr>
          <w:t>1.</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ИТОГИ РЕАЛИЗАЦИИ БЮДЖЕТНОЙ, НАЛОГОВОЙ И ТАМОЖЕННО-ТАРИФНОЙ ПОЛИТИКИ В 2017-2018 ГГ.</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_Toc518648643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3</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44" w:history="1">
        <w:r w:rsidR="00CF1DF4" w:rsidRPr="00CF1DF4">
          <w:rPr>
            <w:rStyle w:val="af3"/>
            <w:rFonts w:ascii="Times New Roman" w:hAnsi="Times New Roman"/>
            <w:noProof/>
          </w:rPr>
          <w:t>1.1.</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ПРЕДСКАЗУЕМАЯ И УСТОЙЧИВАЯ СРЕДА</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_Toc518648644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4</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45" w:history="1">
        <w:r w:rsidR="00CF1DF4" w:rsidRPr="00CF1DF4">
          <w:rPr>
            <w:rStyle w:val="af3"/>
            <w:rFonts w:ascii="Times New Roman" w:hAnsi="Times New Roman"/>
            <w:noProof/>
          </w:rPr>
          <w:t>1.2.</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СТРУКТУРНАЯ ТРАНСФОРМАЦИЯ ЭКОНОМИКИ</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_Toc518648645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7</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46" w:history="1">
        <w:r w:rsidR="00CF1DF4" w:rsidRPr="00CF1DF4">
          <w:rPr>
            <w:rStyle w:val="af3"/>
            <w:rFonts w:ascii="Times New Roman" w:hAnsi="Times New Roman"/>
            <w:noProof/>
          </w:rPr>
          <w:t>1.3.</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РАЗВИТИЕ МЕЖБЮДЖЕТНЫХ ОТНОШЕНИЙ</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_Toc518648646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10</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47" w:history="1">
        <w:r w:rsidR="00CF1DF4" w:rsidRPr="00CF1DF4">
          <w:rPr>
            <w:rStyle w:val="af3"/>
            <w:rFonts w:ascii="Times New Roman" w:hAnsi="Times New Roman"/>
            <w:noProof/>
          </w:rPr>
          <w:t>1.4.</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ОПЕРАЦИОННАЯ ЭФФЕКТИВНОСТЬ ИСПОЛЬЗОВАНИЯ БЮДЖЕТНЫХ СРЕДСТВ</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_Toc518648647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13</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48" w:history="1">
        <w:r w:rsidR="00CF1DF4" w:rsidRPr="00CF1DF4">
          <w:rPr>
            <w:rStyle w:val="af3"/>
            <w:rFonts w:ascii="Times New Roman" w:hAnsi="Times New Roman"/>
            <w:noProof/>
          </w:rPr>
          <w:t>1.5.</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ТАМОЖЕННО-ТАРИФНОЕ РЕГУЛИРОВАНИЕ</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_Toc518648648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16</w:t>
        </w:r>
        <w:r w:rsidR="00CF1DF4" w:rsidRPr="00CF1DF4">
          <w:rPr>
            <w:rFonts w:ascii="Times New Roman" w:hAnsi="Times New Roman"/>
            <w:noProof/>
            <w:webHidden/>
          </w:rPr>
          <w:fldChar w:fldCharType="end"/>
        </w:r>
      </w:hyperlink>
    </w:p>
    <w:p w:rsidR="00CF1DF4" w:rsidRPr="00CF1DF4" w:rsidRDefault="00003295">
      <w:pPr>
        <w:pStyle w:val="12"/>
        <w:tabs>
          <w:tab w:val="left" w:pos="440"/>
        </w:tabs>
        <w:rPr>
          <w:rFonts w:ascii="Times New Roman" w:eastAsiaTheme="minorEastAsia" w:hAnsi="Times New Roman"/>
          <w:noProof/>
          <w:lang w:eastAsia="ru-RU"/>
        </w:rPr>
      </w:pPr>
      <w:hyperlink w:anchor="_Toc518648649" w:history="1">
        <w:r w:rsidR="00CF1DF4" w:rsidRPr="00CF1DF4">
          <w:rPr>
            <w:rStyle w:val="af3"/>
            <w:rFonts w:ascii="Times New Roman" w:hAnsi="Times New Roman"/>
            <w:noProof/>
          </w:rPr>
          <w:t>2.</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УСЛОВИЯ РЕАЛИЗАЦИИ БЮДЖЕТНОЙ, НАЛОГОВОЙ И ТАМОЖЕННО-ТАРИФНОЙ ПОЛИТИКИ В 2019-2021</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_Toc518648649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17</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50" w:history="1">
        <w:r w:rsidR="00CF1DF4" w:rsidRPr="00CF1DF4">
          <w:rPr>
            <w:rStyle w:val="af3"/>
            <w:rFonts w:ascii="Times New Roman" w:hAnsi="Times New Roman"/>
            <w:noProof/>
          </w:rPr>
          <w:t>2.1.</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ВНЕШНИЕ УСЛОВИЯ</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_Toc518648650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17</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51" w:history="1">
        <w:r w:rsidR="00CF1DF4" w:rsidRPr="00CF1DF4">
          <w:rPr>
            <w:rStyle w:val="af3"/>
            <w:rFonts w:ascii="Times New Roman" w:hAnsi="Times New Roman"/>
            <w:noProof/>
          </w:rPr>
          <w:t>2.2.</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ВНУТРЕННИЕ УСЛОВИЯ</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_Toc518648651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21</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52" w:history="1">
        <w:r w:rsidR="00CF1DF4" w:rsidRPr="00CF1DF4">
          <w:rPr>
            <w:rStyle w:val="af3"/>
            <w:rFonts w:ascii="Times New Roman" w:hAnsi="Times New Roman"/>
            <w:noProof/>
          </w:rPr>
          <w:t>2.3.</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ОСНОВНЫЕ ПАРАМЕТРЫ ПРОГНОЗА  СОЦИАЛЬНО-ЭКОНОМИЧЕСКОГО РАЗВИТИЯ</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_Toc518648652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22</w:t>
        </w:r>
        <w:r w:rsidR="00CF1DF4" w:rsidRPr="00CF1DF4">
          <w:rPr>
            <w:rFonts w:ascii="Times New Roman" w:hAnsi="Times New Roman"/>
            <w:noProof/>
            <w:webHidden/>
          </w:rPr>
          <w:fldChar w:fldCharType="end"/>
        </w:r>
      </w:hyperlink>
    </w:p>
    <w:p w:rsidR="00CF1DF4" w:rsidRPr="00CF1DF4" w:rsidRDefault="00003295">
      <w:pPr>
        <w:pStyle w:val="12"/>
        <w:tabs>
          <w:tab w:val="left" w:pos="440"/>
        </w:tabs>
        <w:rPr>
          <w:rFonts w:ascii="Times New Roman" w:eastAsiaTheme="minorEastAsia" w:hAnsi="Times New Roman"/>
          <w:noProof/>
          <w:lang w:eastAsia="ru-RU"/>
        </w:rPr>
      </w:pPr>
      <w:hyperlink w:anchor="_Toc518648653" w:history="1">
        <w:r w:rsidR="00CF1DF4" w:rsidRPr="00CF1DF4">
          <w:rPr>
            <w:rStyle w:val="af3"/>
            <w:rFonts w:ascii="Times New Roman" w:hAnsi="Times New Roman"/>
            <w:noProof/>
          </w:rPr>
          <w:t>3.</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ЦЕЛИ И ЗАДАЧИ БЮДЖЕТНОЙ, НАЛОГОВОЙ И ТАМОЖЕННО-ТАРИФНОЙ ПОЛИТИКИ НА 2019-2021</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_Toc518648653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25</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54" w:history="1">
        <w:r w:rsidR="00CF1DF4" w:rsidRPr="00CF1DF4">
          <w:rPr>
            <w:rStyle w:val="af3"/>
            <w:rFonts w:ascii="Times New Roman" w:hAnsi="Times New Roman"/>
            <w:noProof/>
          </w:rPr>
          <w:t>3.1.</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РАСШИРЕНИЕ ПОТЕНЦИАЛА ЭКОНОМИКИ</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_Toc518648654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25</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55" w:history="1">
        <w:r w:rsidR="00CF1DF4" w:rsidRPr="00CF1DF4">
          <w:rPr>
            <w:rStyle w:val="af3"/>
            <w:rFonts w:ascii="Times New Roman" w:hAnsi="Times New Roman"/>
            <w:noProof/>
          </w:rPr>
          <w:t>3.2.</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РАЗВИТИЕ СИСТЕМЫ МЕЖБЮДЖЕТНЫХ ОТНОШЕНИЙ И ПРОСТРАНСТВЕННОЕ РАЗВИТИЕ</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_Toc518648655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31</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56" w:history="1">
        <w:r w:rsidR="00CF1DF4" w:rsidRPr="00CF1DF4">
          <w:rPr>
            <w:rStyle w:val="af3"/>
            <w:rFonts w:ascii="Times New Roman" w:hAnsi="Times New Roman"/>
            <w:noProof/>
          </w:rPr>
          <w:t>3.3.</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ОПЕРАЦИОННАЯ ЭФФЕКТИВНОСТЬ ИСПОЛЬЗОВАНИЯ БЮДЖЕТНЫХ СРЕДСТВ</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_Toc518648656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35</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57" w:history="1">
        <w:r w:rsidR="00CF1DF4" w:rsidRPr="00CF1DF4">
          <w:rPr>
            <w:rStyle w:val="af3"/>
            <w:rFonts w:ascii="Times New Roman" w:hAnsi="Times New Roman"/>
            <w:noProof/>
          </w:rPr>
          <w:t>3.4.</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ТАМОЖЕННО-ТАРИФНОЕ РЕГУЛИРОВАНИЕ</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_Toc518648657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37</w:t>
        </w:r>
        <w:r w:rsidR="00CF1DF4" w:rsidRPr="00CF1DF4">
          <w:rPr>
            <w:rFonts w:ascii="Times New Roman" w:hAnsi="Times New Roman"/>
            <w:noProof/>
            <w:webHidden/>
          </w:rPr>
          <w:fldChar w:fldCharType="end"/>
        </w:r>
      </w:hyperlink>
    </w:p>
    <w:p w:rsidR="00CF1DF4" w:rsidRPr="00CF1DF4" w:rsidRDefault="00003295">
      <w:pPr>
        <w:pStyle w:val="12"/>
        <w:tabs>
          <w:tab w:val="left" w:pos="440"/>
        </w:tabs>
        <w:rPr>
          <w:rFonts w:ascii="Times New Roman" w:eastAsiaTheme="minorEastAsia" w:hAnsi="Times New Roman"/>
          <w:noProof/>
          <w:lang w:eastAsia="ru-RU"/>
        </w:rPr>
      </w:pPr>
      <w:hyperlink w:anchor="_Toc518648658" w:history="1">
        <w:r w:rsidR="00CF1DF4" w:rsidRPr="00CF1DF4">
          <w:rPr>
            <w:rStyle w:val="af3"/>
            <w:rFonts w:ascii="Times New Roman" w:hAnsi="Times New Roman"/>
            <w:noProof/>
          </w:rPr>
          <w:t>4.</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ОСНОВНЫЕ ПАРАМЕТРЫ БЮДЖЕТНОЙ СИСТЕМЫ</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_Toc518648658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41</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59" w:history="1">
        <w:r w:rsidR="00CF1DF4" w:rsidRPr="00CF1DF4">
          <w:rPr>
            <w:rStyle w:val="af3"/>
            <w:rFonts w:ascii="Times New Roman" w:hAnsi="Times New Roman"/>
            <w:noProof/>
          </w:rPr>
          <w:t>4.1.</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ФЕДЕРАЛЬНЫЙ БЮДЖЕТ (ОСНОВНЫЕ ХАРАКТЕРИСТИКИ, ДОХОДЫ, РАСХОДЫ, ИСТОЧНИКИ ФИНАНСИРОВАНИЯ И ГОСУДАРСТВЕННЫЙ ДОЛГ)</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_Toc518648659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41</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60" w:history="1">
        <w:r w:rsidR="00CF1DF4" w:rsidRPr="00CF1DF4">
          <w:rPr>
            <w:rStyle w:val="af3"/>
            <w:rFonts w:ascii="Times New Roman" w:hAnsi="Times New Roman"/>
            <w:noProof/>
          </w:rPr>
          <w:t>4.2.</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БЮДЖЕТЫ СУБЪЕКТОВ РОССИЙСКОЙ ФЕДЕРАЦИИ</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_Toc518648660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47</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61" w:history="1">
        <w:r w:rsidR="00CF1DF4" w:rsidRPr="00CF1DF4">
          <w:rPr>
            <w:rStyle w:val="af3"/>
            <w:rFonts w:ascii="Times New Roman" w:hAnsi="Times New Roman"/>
            <w:noProof/>
          </w:rPr>
          <w:t>4.3.</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ГОСУДАРСТВЕННЫЕ ВНЕБЮДЖЕТНЫЕ ФОНДЫ</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_Toc518648661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50</w:t>
        </w:r>
        <w:r w:rsidR="00CF1DF4" w:rsidRPr="00CF1DF4">
          <w:rPr>
            <w:rFonts w:ascii="Times New Roman" w:hAnsi="Times New Roman"/>
            <w:noProof/>
            <w:webHidden/>
          </w:rPr>
          <w:fldChar w:fldCharType="end"/>
        </w:r>
      </w:hyperlink>
    </w:p>
    <w:p w:rsidR="00CF1DF4" w:rsidRPr="00CF1DF4" w:rsidRDefault="00003295">
      <w:pPr>
        <w:pStyle w:val="22"/>
        <w:rPr>
          <w:rFonts w:ascii="Times New Roman" w:eastAsiaTheme="minorEastAsia" w:hAnsi="Times New Roman"/>
          <w:noProof/>
          <w:lang w:eastAsia="ru-RU"/>
        </w:rPr>
      </w:pPr>
      <w:hyperlink w:anchor="_Toc518648662" w:history="1">
        <w:r w:rsidR="00CF1DF4" w:rsidRPr="00CF1DF4">
          <w:rPr>
            <w:rStyle w:val="af3"/>
            <w:rFonts w:ascii="Times New Roman" w:hAnsi="Times New Roman"/>
            <w:noProof/>
          </w:rPr>
          <w:t>4.4.</w:t>
        </w:r>
        <w:r w:rsidR="00CF1DF4" w:rsidRPr="00CF1DF4">
          <w:rPr>
            <w:rFonts w:ascii="Times New Roman" w:eastAsiaTheme="minorEastAsia" w:hAnsi="Times New Roman"/>
            <w:noProof/>
            <w:lang w:eastAsia="ru-RU"/>
          </w:rPr>
          <w:tab/>
        </w:r>
        <w:r w:rsidR="00CF1DF4" w:rsidRPr="00CF1DF4">
          <w:rPr>
            <w:rStyle w:val="af3"/>
            <w:rFonts w:ascii="Times New Roman" w:hAnsi="Times New Roman"/>
            <w:noProof/>
          </w:rPr>
          <w:t>БЮДЖЕТЫ БЮДЖЕТНОЙ СИСТЕМЫ</w:t>
        </w:r>
        <w:r w:rsidR="00CF1DF4" w:rsidRPr="00CF1DF4">
          <w:rPr>
            <w:rFonts w:ascii="Times New Roman" w:hAnsi="Times New Roman"/>
            <w:noProof/>
            <w:webHidden/>
          </w:rPr>
          <w:tab/>
        </w:r>
        <w:r w:rsidR="00CF1DF4" w:rsidRPr="00CF1DF4">
          <w:rPr>
            <w:rFonts w:ascii="Times New Roman" w:hAnsi="Times New Roman"/>
            <w:noProof/>
            <w:webHidden/>
          </w:rPr>
          <w:fldChar w:fldCharType="begin"/>
        </w:r>
        <w:r w:rsidR="00CF1DF4" w:rsidRPr="00CF1DF4">
          <w:rPr>
            <w:rFonts w:ascii="Times New Roman" w:hAnsi="Times New Roman"/>
            <w:noProof/>
            <w:webHidden/>
          </w:rPr>
          <w:instrText xml:space="preserve"> PAGEREF _Toc518648662 \h </w:instrText>
        </w:r>
        <w:r w:rsidR="00CF1DF4" w:rsidRPr="00CF1DF4">
          <w:rPr>
            <w:rFonts w:ascii="Times New Roman" w:hAnsi="Times New Roman"/>
            <w:noProof/>
            <w:webHidden/>
          </w:rPr>
        </w:r>
        <w:r w:rsidR="00CF1DF4" w:rsidRPr="00CF1DF4">
          <w:rPr>
            <w:rFonts w:ascii="Times New Roman" w:hAnsi="Times New Roman"/>
            <w:noProof/>
            <w:webHidden/>
          </w:rPr>
          <w:fldChar w:fldCharType="separate"/>
        </w:r>
        <w:r w:rsidR="00826ED1">
          <w:rPr>
            <w:rFonts w:ascii="Times New Roman" w:hAnsi="Times New Roman"/>
            <w:noProof/>
            <w:webHidden/>
          </w:rPr>
          <w:t>54</w:t>
        </w:r>
        <w:r w:rsidR="00CF1DF4" w:rsidRPr="00CF1DF4">
          <w:rPr>
            <w:rFonts w:ascii="Times New Roman" w:hAnsi="Times New Roman"/>
            <w:noProof/>
            <w:webHidden/>
          </w:rPr>
          <w:fldChar w:fldCharType="end"/>
        </w:r>
      </w:hyperlink>
    </w:p>
    <w:p w:rsidR="00DC4BBA" w:rsidRDefault="004E2069" w:rsidP="00A81FB3">
      <w:pPr>
        <w:pStyle w:val="22"/>
        <w:spacing w:after="0" w:line="276" w:lineRule="auto"/>
        <w:rPr>
          <w:rFonts w:ascii="Times New Roman" w:hAnsi="Times New Roman"/>
          <w:sz w:val="24"/>
          <w:szCs w:val="24"/>
        </w:rPr>
      </w:pPr>
      <w:r w:rsidRPr="00146B8D">
        <w:rPr>
          <w:rFonts w:ascii="Times New Roman" w:hAnsi="Times New Roman"/>
          <w:sz w:val="24"/>
          <w:szCs w:val="24"/>
          <w:highlight w:val="lightGray"/>
        </w:rPr>
        <w:fldChar w:fldCharType="end"/>
      </w:r>
      <w:r w:rsidR="00DC4BBA">
        <w:rPr>
          <w:rFonts w:ascii="Times New Roman" w:hAnsi="Times New Roman"/>
          <w:sz w:val="24"/>
          <w:szCs w:val="24"/>
        </w:rPr>
        <w:br w:type="page"/>
      </w:r>
    </w:p>
    <w:p w:rsidR="004E2069" w:rsidRPr="00636BFA" w:rsidRDefault="004E2069" w:rsidP="00702B74">
      <w:pPr>
        <w:spacing w:after="120"/>
        <w:jc w:val="both"/>
        <w:rPr>
          <w:rFonts w:ascii="Times New Roman" w:hAnsi="Times New Roman"/>
          <w:sz w:val="24"/>
          <w:szCs w:val="24"/>
        </w:rPr>
      </w:pPr>
      <w:r w:rsidRPr="008E2238">
        <w:rPr>
          <w:rFonts w:ascii="Times New Roman" w:hAnsi="Times New Roman"/>
          <w:sz w:val="24"/>
          <w:szCs w:val="24"/>
        </w:rPr>
        <w:lastRenderedPageBreak/>
        <w:t>Основные направления бюджетной, налоговой и таможенно-тарифной политики на 201</w:t>
      </w:r>
      <w:r w:rsidR="00FB0D15">
        <w:rPr>
          <w:rFonts w:ascii="Times New Roman" w:hAnsi="Times New Roman"/>
          <w:sz w:val="24"/>
          <w:szCs w:val="24"/>
        </w:rPr>
        <w:t>9</w:t>
      </w:r>
      <w:r w:rsidRPr="008E2238">
        <w:rPr>
          <w:rFonts w:ascii="Times New Roman" w:hAnsi="Times New Roman"/>
          <w:sz w:val="24"/>
          <w:szCs w:val="24"/>
        </w:rPr>
        <w:t xml:space="preserve"> год и на плановый период 20</w:t>
      </w:r>
      <w:r w:rsidR="00FB0D15">
        <w:rPr>
          <w:rFonts w:ascii="Times New Roman" w:hAnsi="Times New Roman"/>
          <w:sz w:val="24"/>
          <w:szCs w:val="24"/>
        </w:rPr>
        <w:t>20</w:t>
      </w:r>
      <w:r w:rsidRPr="008E2238">
        <w:rPr>
          <w:rFonts w:ascii="Times New Roman" w:hAnsi="Times New Roman"/>
          <w:sz w:val="24"/>
          <w:szCs w:val="24"/>
        </w:rPr>
        <w:t xml:space="preserve"> и 202</w:t>
      </w:r>
      <w:r w:rsidR="00FB0D15">
        <w:rPr>
          <w:rFonts w:ascii="Times New Roman" w:hAnsi="Times New Roman"/>
          <w:sz w:val="24"/>
          <w:szCs w:val="24"/>
        </w:rPr>
        <w:t>1</w:t>
      </w:r>
      <w:r w:rsidRPr="008E2238">
        <w:rPr>
          <w:rFonts w:ascii="Times New Roman" w:hAnsi="Times New Roman"/>
          <w:sz w:val="24"/>
          <w:szCs w:val="24"/>
        </w:rPr>
        <w:t xml:space="preserve"> годов разработаны в соответствии со статьей 165 Бюджетного кодекса Российской Федерации с учетом итогов реализации бюджетной</w:t>
      </w:r>
      <w:r>
        <w:rPr>
          <w:rFonts w:ascii="Times New Roman" w:hAnsi="Times New Roman"/>
          <w:sz w:val="24"/>
          <w:szCs w:val="24"/>
        </w:rPr>
        <w:t xml:space="preserve">, налоговой и </w:t>
      </w:r>
      <w:r w:rsidRPr="00582FF0">
        <w:rPr>
          <w:rFonts w:ascii="Times New Roman" w:hAnsi="Times New Roman"/>
          <w:sz w:val="24"/>
          <w:szCs w:val="24"/>
        </w:rPr>
        <w:t>таможенно-тарифной</w:t>
      </w:r>
      <w:r>
        <w:rPr>
          <w:rFonts w:ascii="Times New Roman" w:hAnsi="Times New Roman"/>
          <w:sz w:val="24"/>
          <w:szCs w:val="24"/>
        </w:rPr>
        <w:t xml:space="preserve"> </w:t>
      </w:r>
      <w:r w:rsidRPr="008E2238">
        <w:rPr>
          <w:rFonts w:ascii="Times New Roman" w:hAnsi="Times New Roman"/>
          <w:sz w:val="24"/>
          <w:szCs w:val="24"/>
        </w:rPr>
        <w:t xml:space="preserve">политики </w:t>
      </w:r>
      <w:r w:rsidR="00156E87">
        <w:rPr>
          <w:rFonts w:ascii="Times New Roman" w:hAnsi="Times New Roman"/>
          <w:sz w:val="24"/>
          <w:szCs w:val="24"/>
        </w:rPr>
        <w:t>на</w:t>
      </w:r>
      <w:r w:rsidRPr="008E2238">
        <w:rPr>
          <w:rFonts w:ascii="Times New Roman" w:hAnsi="Times New Roman"/>
          <w:sz w:val="24"/>
          <w:szCs w:val="24"/>
        </w:rPr>
        <w:t xml:space="preserve"> период до 201</w:t>
      </w:r>
      <w:r w:rsidR="00FB0D15">
        <w:rPr>
          <w:rFonts w:ascii="Times New Roman" w:hAnsi="Times New Roman"/>
          <w:sz w:val="24"/>
          <w:szCs w:val="24"/>
        </w:rPr>
        <w:t>8</w:t>
      </w:r>
      <w:r w:rsidR="00005E3C">
        <w:rPr>
          <w:rFonts w:ascii="Times New Roman" w:hAnsi="Times New Roman"/>
          <w:sz w:val="24"/>
          <w:szCs w:val="24"/>
        </w:rPr>
        <w:t>-20</w:t>
      </w:r>
      <w:r w:rsidR="00FB0D15">
        <w:rPr>
          <w:rFonts w:ascii="Times New Roman" w:hAnsi="Times New Roman"/>
          <w:sz w:val="24"/>
          <w:szCs w:val="24"/>
        </w:rPr>
        <w:t>20</w:t>
      </w:r>
      <w:r w:rsidRPr="008E2238">
        <w:rPr>
          <w:rFonts w:ascii="Times New Roman" w:hAnsi="Times New Roman"/>
          <w:sz w:val="24"/>
          <w:szCs w:val="24"/>
        </w:rPr>
        <w:t xml:space="preserve"> год</w:t>
      </w:r>
      <w:r w:rsidR="00820321">
        <w:rPr>
          <w:rFonts w:ascii="Times New Roman" w:hAnsi="Times New Roman"/>
          <w:sz w:val="24"/>
          <w:szCs w:val="24"/>
        </w:rPr>
        <w:t>ов</w:t>
      </w:r>
      <w:r w:rsidRPr="008E2238">
        <w:rPr>
          <w:rFonts w:ascii="Times New Roman" w:hAnsi="Times New Roman"/>
          <w:sz w:val="24"/>
          <w:szCs w:val="24"/>
        </w:rPr>
        <w:t>.</w:t>
      </w:r>
      <w:r w:rsidR="009E0C32">
        <w:rPr>
          <w:rFonts w:ascii="Times New Roman" w:hAnsi="Times New Roman"/>
          <w:sz w:val="24"/>
          <w:szCs w:val="24"/>
        </w:rPr>
        <w:t xml:space="preserve"> </w:t>
      </w:r>
      <w:r w:rsidRPr="005970AC">
        <w:rPr>
          <w:rFonts w:ascii="Times New Roman" w:hAnsi="Times New Roman"/>
          <w:sz w:val="24"/>
          <w:szCs w:val="24"/>
        </w:rPr>
        <w:t xml:space="preserve">При подготовке Основных направлений бюджетной, налоговой и таможенно-тарифной политики были учтены </w:t>
      </w:r>
      <w:r w:rsidR="00FB0D15" w:rsidRPr="00FB0D15">
        <w:rPr>
          <w:rFonts w:ascii="Times New Roman" w:hAnsi="Times New Roman"/>
          <w:sz w:val="24"/>
          <w:szCs w:val="24"/>
        </w:rPr>
        <w:t>положения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Послания Президента Российской Федерации Федеральному Собранию Российской Федерации от 1 марта 2018 года</w:t>
      </w:r>
      <w:r w:rsidRPr="00636BFA">
        <w:rPr>
          <w:rFonts w:ascii="Times New Roman" w:hAnsi="Times New Roman"/>
          <w:sz w:val="24"/>
          <w:szCs w:val="24"/>
        </w:rPr>
        <w:t>.</w:t>
      </w:r>
    </w:p>
    <w:p w:rsidR="004E2069" w:rsidRPr="00F022E7" w:rsidRDefault="004E2069" w:rsidP="00702B74">
      <w:pPr>
        <w:spacing w:after="120"/>
        <w:jc w:val="both"/>
        <w:rPr>
          <w:rFonts w:ascii="Times New Roman" w:hAnsi="Times New Roman"/>
          <w:sz w:val="24"/>
          <w:szCs w:val="24"/>
        </w:rPr>
      </w:pPr>
      <w:r w:rsidRPr="00636BFA">
        <w:rPr>
          <w:rFonts w:ascii="Times New Roman" w:hAnsi="Times New Roman"/>
          <w:sz w:val="24"/>
          <w:szCs w:val="24"/>
        </w:rPr>
        <w:t>Целью Основных направлений бюджетной, налоговой и таможенно-тарифной политики является определение условий, используемых при составлении прое</w:t>
      </w:r>
      <w:r w:rsidR="00FB0D15">
        <w:rPr>
          <w:rFonts w:ascii="Times New Roman" w:hAnsi="Times New Roman"/>
          <w:sz w:val="24"/>
          <w:szCs w:val="24"/>
        </w:rPr>
        <w:t>кта федерального бюджета на 2019</w:t>
      </w:r>
      <w:r w:rsidRPr="00636BFA">
        <w:rPr>
          <w:rFonts w:ascii="Times New Roman" w:hAnsi="Times New Roman"/>
          <w:sz w:val="24"/>
          <w:szCs w:val="24"/>
        </w:rPr>
        <w:t xml:space="preserve"> год и на плановый период 20</w:t>
      </w:r>
      <w:r w:rsidR="00FB0D15">
        <w:rPr>
          <w:rFonts w:ascii="Times New Roman" w:hAnsi="Times New Roman"/>
          <w:sz w:val="24"/>
          <w:szCs w:val="24"/>
        </w:rPr>
        <w:t>20</w:t>
      </w:r>
      <w:r w:rsidRPr="00636BFA">
        <w:rPr>
          <w:rFonts w:ascii="Times New Roman" w:hAnsi="Times New Roman"/>
          <w:sz w:val="24"/>
          <w:szCs w:val="24"/>
        </w:rPr>
        <w:t xml:space="preserve"> и 202</w:t>
      </w:r>
      <w:r w:rsidR="00FB0D15">
        <w:rPr>
          <w:rFonts w:ascii="Times New Roman" w:hAnsi="Times New Roman"/>
          <w:sz w:val="24"/>
          <w:szCs w:val="24"/>
        </w:rPr>
        <w:t>1</w:t>
      </w:r>
      <w:r w:rsidRPr="00636BFA">
        <w:rPr>
          <w:rFonts w:ascii="Times New Roman" w:hAnsi="Times New Roman"/>
          <w:sz w:val="24"/>
          <w:szCs w:val="24"/>
        </w:rPr>
        <w:t xml:space="preserve"> годов, подходов к его формированию, основных характеристик и прогнозируемых параметров федерального бюджета и других бюджетов бюджетной системы Российской Федерации</w:t>
      </w:r>
      <w:r w:rsidR="00FB0D15">
        <w:rPr>
          <w:rFonts w:ascii="Times New Roman" w:hAnsi="Times New Roman"/>
          <w:sz w:val="24"/>
          <w:szCs w:val="24"/>
        </w:rPr>
        <w:t xml:space="preserve"> на 2019</w:t>
      </w:r>
      <w:r w:rsidR="006C34EB">
        <w:rPr>
          <w:rFonts w:ascii="Times New Roman" w:hAnsi="Times New Roman"/>
          <w:sz w:val="24"/>
          <w:szCs w:val="24"/>
        </w:rPr>
        <w:t>-202</w:t>
      </w:r>
      <w:r w:rsidR="00FB0D15">
        <w:rPr>
          <w:rFonts w:ascii="Times New Roman" w:hAnsi="Times New Roman"/>
          <w:sz w:val="24"/>
          <w:szCs w:val="24"/>
        </w:rPr>
        <w:t>1</w:t>
      </w:r>
      <w:r w:rsidR="006C34EB">
        <w:rPr>
          <w:rFonts w:ascii="Times New Roman" w:hAnsi="Times New Roman"/>
          <w:sz w:val="24"/>
          <w:szCs w:val="24"/>
        </w:rPr>
        <w:t xml:space="preserve"> годы</w:t>
      </w:r>
      <w:r w:rsidRPr="00636BFA">
        <w:rPr>
          <w:rFonts w:ascii="Times New Roman" w:hAnsi="Times New Roman"/>
          <w:sz w:val="24"/>
          <w:szCs w:val="24"/>
        </w:rPr>
        <w:t>.</w:t>
      </w:r>
    </w:p>
    <w:p w:rsidR="004E2069" w:rsidRDefault="004E2069">
      <w:pPr>
        <w:rPr>
          <w:rFonts w:ascii="Times New Roman" w:hAnsi="Times New Roman"/>
          <w:b/>
          <w:bCs/>
          <w:sz w:val="32"/>
          <w:szCs w:val="32"/>
        </w:rPr>
      </w:pPr>
      <w:r>
        <w:rPr>
          <w:rFonts w:ascii="Times New Roman" w:hAnsi="Times New Roman"/>
          <w:sz w:val="32"/>
          <w:szCs w:val="32"/>
        </w:rPr>
        <w:br w:type="page"/>
      </w:r>
    </w:p>
    <w:p w:rsidR="004E2069" w:rsidRPr="00E63E11" w:rsidRDefault="00E63E11" w:rsidP="00E0422F">
      <w:pPr>
        <w:pStyle w:val="10"/>
        <w:numPr>
          <w:ilvl w:val="0"/>
          <w:numId w:val="3"/>
        </w:numPr>
        <w:spacing w:after="240"/>
        <w:rPr>
          <w:caps/>
          <w:szCs w:val="32"/>
        </w:rPr>
      </w:pPr>
      <w:bookmarkStart w:id="8" w:name="_Toc518648643"/>
      <w:r w:rsidRPr="00E63E11">
        <w:rPr>
          <w:szCs w:val="32"/>
        </w:rPr>
        <w:lastRenderedPageBreak/>
        <w:t>ИТОГИ РЕАЛИЗАЦИИ БЮДЖЕТНОЙ, НАЛОГОВОЙ И ТАМОЖЕННО-ТАРИФНОЙ ПОЛИТИКИ В 201</w:t>
      </w:r>
      <w:r w:rsidR="00FB0D15">
        <w:rPr>
          <w:szCs w:val="32"/>
        </w:rPr>
        <w:t>7</w:t>
      </w:r>
      <w:r w:rsidRPr="00E63E11">
        <w:rPr>
          <w:szCs w:val="32"/>
        </w:rPr>
        <w:t>-201</w:t>
      </w:r>
      <w:r w:rsidR="00FB0D15">
        <w:rPr>
          <w:szCs w:val="32"/>
        </w:rPr>
        <w:t>8</w:t>
      </w:r>
      <w:r w:rsidR="009609BA">
        <w:rPr>
          <w:szCs w:val="32"/>
        </w:rPr>
        <w:t xml:space="preserve"> Г</w:t>
      </w:r>
      <w:r w:rsidR="007D36CE">
        <w:rPr>
          <w:szCs w:val="32"/>
        </w:rPr>
        <w:t>Г.</w:t>
      </w:r>
      <w:bookmarkEnd w:id="8"/>
    </w:p>
    <w:p w:rsidR="00FB0D15" w:rsidRDefault="002C56C2" w:rsidP="00FB0D15">
      <w:pPr>
        <w:spacing w:before="120" w:after="120"/>
        <w:jc w:val="both"/>
        <w:rPr>
          <w:rFonts w:ascii="Times New Roman" w:hAnsi="Times New Roman"/>
          <w:sz w:val="24"/>
          <w:szCs w:val="24"/>
        </w:rPr>
      </w:pPr>
      <w:r w:rsidRPr="00E63E11">
        <w:rPr>
          <w:rFonts w:ascii="Times New Roman" w:hAnsi="Times New Roman"/>
          <w:sz w:val="24"/>
          <w:szCs w:val="24"/>
        </w:rPr>
        <w:t xml:space="preserve">С </w:t>
      </w:r>
      <w:r w:rsidR="00FB0D15">
        <w:rPr>
          <w:rFonts w:ascii="Times New Roman" w:hAnsi="Times New Roman"/>
          <w:sz w:val="24"/>
          <w:szCs w:val="24"/>
        </w:rPr>
        <w:t xml:space="preserve">преодолением ко второму полугодию 2016 года </w:t>
      </w:r>
      <w:r w:rsidR="00FB0D15" w:rsidRPr="00FB0D15">
        <w:rPr>
          <w:rFonts w:ascii="Times New Roman" w:hAnsi="Times New Roman"/>
          <w:sz w:val="24"/>
          <w:szCs w:val="24"/>
        </w:rPr>
        <w:t xml:space="preserve">последствий </w:t>
      </w:r>
      <w:r w:rsidR="00FB0D15" w:rsidRPr="005A3D06">
        <w:rPr>
          <w:rFonts w:ascii="Times New Roman" w:hAnsi="Times New Roman"/>
          <w:b/>
          <w:i/>
          <w:sz w:val="24"/>
          <w:szCs w:val="24"/>
        </w:rPr>
        <w:t>м</w:t>
      </w:r>
      <w:r w:rsidR="00FB0D15" w:rsidRPr="005A3D06">
        <w:rPr>
          <w:rFonts w:ascii="Times New Roman" w:hAnsi="Times New Roman"/>
          <w:i/>
          <w:sz w:val="24"/>
          <w:szCs w:val="24"/>
        </w:rPr>
        <w:t>ощнейшего за последние полвека внешнего шока</w:t>
      </w:r>
      <w:r w:rsidR="00FB0D15">
        <w:rPr>
          <w:rFonts w:ascii="Times New Roman" w:hAnsi="Times New Roman"/>
          <w:sz w:val="24"/>
          <w:szCs w:val="24"/>
        </w:rPr>
        <w:t xml:space="preserve"> </w:t>
      </w:r>
      <w:r w:rsidR="00FB0D15" w:rsidRPr="00E63E11">
        <w:rPr>
          <w:rFonts w:ascii="Times New Roman" w:hAnsi="Times New Roman"/>
          <w:sz w:val="24"/>
          <w:szCs w:val="24"/>
        </w:rPr>
        <w:t>государственная экономическая политика (и бюджетная политика как ее неотъемлемая составляющая</w:t>
      </w:r>
      <w:r w:rsidR="00FB0D15">
        <w:rPr>
          <w:rFonts w:ascii="Times New Roman" w:hAnsi="Times New Roman"/>
          <w:sz w:val="24"/>
          <w:szCs w:val="24"/>
        </w:rPr>
        <w:t xml:space="preserve">) </w:t>
      </w:r>
      <w:r w:rsidR="00FB0D15" w:rsidRPr="00E63E11">
        <w:rPr>
          <w:rFonts w:ascii="Times New Roman" w:hAnsi="Times New Roman"/>
          <w:sz w:val="24"/>
          <w:szCs w:val="24"/>
        </w:rPr>
        <w:t>ориентировалась</w:t>
      </w:r>
      <w:r w:rsidR="00FB0D15">
        <w:rPr>
          <w:rFonts w:ascii="Times New Roman" w:hAnsi="Times New Roman"/>
          <w:sz w:val="24"/>
          <w:szCs w:val="24"/>
        </w:rPr>
        <w:t xml:space="preserve"> </w:t>
      </w:r>
      <w:r w:rsidR="005A3D06">
        <w:rPr>
          <w:rFonts w:ascii="Times New Roman" w:hAnsi="Times New Roman"/>
          <w:sz w:val="24"/>
          <w:szCs w:val="24"/>
        </w:rPr>
        <w:t xml:space="preserve">на главную </w:t>
      </w:r>
      <w:r w:rsidR="005A3D06" w:rsidRPr="005A3D06">
        <w:rPr>
          <w:rFonts w:ascii="Times New Roman" w:hAnsi="Times New Roman"/>
          <w:sz w:val="24"/>
          <w:szCs w:val="24"/>
        </w:rPr>
        <w:t>цель по</w:t>
      </w:r>
      <w:r w:rsidR="00F14FB1" w:rsidRPr="00F14FB1">
        <w:t xml:space="preserve"> </w:t>
      </w:r>
      <w:r w:rsidR="00F14FB1" w:rsidRPr="00F14FB1">
        <w:rPr>
          <w:rFonts w:ascii="Times New Roman" w:hAnsi="Times New Roman"/>
          <w:sz w:val="24"/>
          <w:szCs w:val="24"/>
        </w:rPr>
        <w:t>обеспечени</w:t>
      </w:r>
      <w:r w:rsidR="00F14FB1">
        <w:rPr>
          <w:rFonts w:ascii="Times New Roman" w:hAnsi="Times New Roman"/>
          <w:sz w:val="24"/>
          <w:szCs w:val="24"/>
        </w:rPr>
        <w:t>ю</w:t>
      </w:r>
      <w:r w:rsidR="00F14FB1" w:rsidRPr="00F14FB1">
        <w:rPr>
          <w:rFonts w:ascii="Times New Roman" w:hAnsi="Times New Roman"/>
          <w:sz w:val="24"/>
          <w:szCs w:val="24"/>
        </w:rPr>
        <w:t xml:space="preserve"> устойчивых темпов роста</w:t>
      </w:r>
      <w:r w:rsidR="00F14FB1">
        <w:rPr>
          <w:rFonts w:ascii="Times New Roman" w:hAnsi="Times New Roman"/>
          <w:sz w:val="24"/>
          <w:szCs w:val="24"/>
        </w:rPr>
        <w:t xml:space="preserve"> экономики и </w:t>
      </w:r>
      <w:r w:rsidR="005A3D06" w:rsidRPr="005A3D06">
        <w:rPr>
          <w:rFonts w:ascii="Times New Roman" w:hAnsi="Times New Roman"/>
          <w:b/>
          <w:sz w:val="24"/>
          <w:szCs w:val="24"/>
        </w:rPr>
        <w:t>расширению потенциала сбалансированного развития страны</w:t>
      </w:r>
      <w:r w:rsidR="005A3D06">
        <w:rPr>
          <w:rFonts w:ascii="Times New Roman" w:hAnsi="Times New Roman"/>
          <w:sz w:val="24"/>
          <w:szCs w:val="24"/>
        </w:rPr>
        <w:t>.</w:t>
      </w:r>
    </w:p>
    <w:p w:rsidR="00F14FB1" w:rsidRDefault="00F14FB1" w:rsidP="00F14FB1">
      <w:pPr>
        <w:spacing w:before="120" w:after="120"/>
        <w:jc w:val="both"/>
        <w:rPr>
          <w:rFonts w:ascii="Times New Roman" w:hAnsi="Times New Roman"/>
          <w:sz w:val="24"/>
          <w:szCs w:val="24"/>
        </w:rPr>
      </w:pPr>
      <w:r>
        <w:rPr>
          <w:rFonts w:ascii="Times New Roman" w:hAnsi="Times New Roman"/>
          <w:sz w:val="24"/>
          <w:szCs w:val="24"/>
        </w:rPr>
        <w:t>Достижение этой цели требовало проведения экономической политики, одновременно обеспечивающей:</w:t>
      </w:r>
    </w:p>
    <w:p w:rsidR="00F14FB1" w:rsidRDefault="00F14FB1" w:rsidP="006A22F2">
      <w:pPr>
        <w:pStyle w:val="aa"/>
        <w:numPr>
          <w:ilvl w:val="0"/>
          <w:numId w:val="14"/>
        </w:numPr>
        <w:spacing w:before="120" w:after="120"/>
        <w:contextualSpacing w:val="0"/>
        <w:jc w:val="both"/>
        <w:rPr>
          <w:rFonts w:ascii="Times New Roman" w:hAnsi="Times New Roman"/>
          <w:sz w:val="24"/>
          <w:szCs w:val="24"/>
        </w:rPr>
      </w:pPr>
      <w:r w:rsidRPr="00F14FB1">
        <w:rPr>
          <w:rFonts w:ascii="Times New Roman" w:hAnsi="Times New Roman"/>
          <w:b/>
          <w:sz w:val="24"/>
          <w:szCs w:val="24"/>
        </w:rPr>
        <w:t>Создание предсказуемой и устойчивой среды</w:t>
      </w:r>
      <w:r w:rsidRPr="00F14FB1">
        <w:rPr>
          <w:rFonts w:ascii="Times New Roman" w:hAnsi="Times New Roman"/>
          <w:sz w:val="24"/>
          <w:szCs w:val="24"/>
        </w:rPr>
        <w:t xml:space="preserve">, характеризующейся: (1) низким уровнем восприимчивости внутренних экономических </w:t>
      </w:r>
      <w:r w:rsidR="008E0DA0">
        <w:rPr>
          <w:rFonts w:ascii="Times New Roman" w:hAnsi="Times New Roman"/>
          <w:sz w:val="24"/>
          <w:szCs w:val="24"/>
        </w:rPr>
        <w:t xml:space="preserve">условий </w:t>
      </w:r>
      <w:r w:rsidRPr="00F14FB1">
        <w:rPr>
          <w:rFonts w:ascii="Times New Roman" w:hAnsi="Times New Roman"/>
          <w:sz w:val="24"/>
          <w:szCs w:val="24"/>
        </w:rPr>
        <w:t xml:space="preserve">к </w:t>
      </w:r>
      <w:r w:rsidR="008E0DA0">
        <w:rPr>
          <w:rFonts w:ascii="Times New Roman" w:hAnsi="Times New Roman"/>
          <w:sz w:val="24"/>
          <w:szCs w:val="24"/>
        </w:rPr>
        <w:t xml:space="preserve">состоянию </w:t>
      </w:r>
      <w:r w:rsidRPr="00F14FB1">
        <w:rPr>
          <w:rFonts w:ascii="Times New Roman" w:hAnsi="Times New Roman"/>
          <w:sz w:val="24"/>
          <w:szCs w:val="24"/>
        </w:rPr>
        <w:t>внешней конъюнктур</w:t>
      </w:r>
      <w:r w:rsidR="008E0DA0">
        <w:rPr>
          <w:rFonts w:ascii="Times New Roman" w:hAnsi="Times New Roman"/>
          <w:sz w:val="24"/>
          <w:szCs w:val="24"/>
        </w:rPr>
        <w:t>ы</w:t>
      </w:r>
      <w:r w:rsidRPr="00F14FB1">
        <w:rPr>
          <w:rFonts w:ascii="Times New Roman" w:hAnsi="Times New Roman"/>
          <w:sz w:val="24"/>
          <w:szCs w:val="24"/>
        </w:rPr>
        <w:t>, в</w:t>
      </w:r>
      <w:r w:rsidR="008E0DA0">
        <w:rPr>
          <w:rFonts w:ascii="Times New Roman" w:hAnsi="Times New Roman"/>
          <w:sz w:val="24"/>
          <w:szCs w:val="24"/>
        </w:rPr>
        <w:t>к</w:t>
      </w:r>
      <w:r w:rsidRPr="00F14FB1">
        <w:rPr>
          <w:rFonts w:ascii="Times New Roman" w:hAnsi="Times New Roman"/>
          <w:sz w:val="24"/>
          <w:szCs w:val="24"/>
        </w:rPr>
        <w:t>лючая колебания цен на нефть; (2) устойчиво низким уровнем инфляционных ожиданий и долгосрочных реальных процентных ставок; (3) стабильными налоговыми (и неналоговыми, в т.ч. регуляторными) условиями.</w:t>
      </w:r>
    </w:p>
    <w:p w:rsidR="00F14FB1" w:rsidRPr="00F14FB1" w:rsidRDefault="00F14FB1" w:rsidP="006A22F2">
      <w:pPr>
        <w:pStyle w:val="aa"/>
        <w:numPr>
          <w:ilvl w:val="0"/>
          <w:numId w:val="14"/>
        </w:numPr>
        <w:spacing w:before="120" w:after="120"/>
        <w:contextualSpacing w:val="0"/>
        <w:jc w:val="both"/>
        <w:rPr>
          <w:rFonts w:ascii="Times New Roman" w:hAnsi="Times New Roman"/>
          <w:sz w:val="24"/>
          <w:szCs w:val="24"/>
        </w:rPr>
      </w:pPr>
      <w:r w:rsidRPr="00F14FB1">
        <w:rPr>
          <w:rFonts w:ascii="Times New Roman" w:hAnsi="Times New Roman"/>
          <w:b/>
          <w:sz w:val="24"/>
          <w:szCs w:val="24"/>
        </w:rPr>
        <w:t>Устранение структурных дисбалансов и барьеров для развития</w:t>
      </w:r>
      <w:r w:rsidRPr="00F14FB1">
        <w:rPr>
          <w:rFonts w:ascii="Times New Roman" w:hAnsi="Times New Roman"/>
          <w:sz w:val="24"/>
          <w:szCs w:val="24"/>
        </w:rPr>
        <w:t xml:space="preserve">, связанных в том числе с искажениями конкурентного ландшафта и стимулов к инвестициям, </w:t>
      </w:r>
      <w:r w:rsidRPr="00F14FB1">
        <w:rPr>
          <w:rFonts w:ascii="Times New Roman" w:hAnsi="Times New Roman"/>
          <w:sz w:val="24"/>
          <w:szCs w:val="27"/>
        </w:rPr>
        <w:t xml:space="preserve">качеством и эффективностью государственного управления, демографическими тенденциями и </w:t>
      </w:r>
      <w:r w:rsidRPr="00F14FB1">
        <w:rPr>
          <w:rFonts w:ascii="Times New Roman" w:hAnsi="Times New Roman"/>
          <w:sz w:val="24"/>
          <w:szCs w:val="24"/>
        </w:rPr>
        <w:t>развитием человеческого капитала.</w:t>
      </w:r>
    </w:p>
    <w:p w:rsidR="00A03015" w:rsidRDefault="008E0DA0" w:rsidP="00BF3A4C">
      <w:pPr>
        <w:spacing w:before="120" w:after="120"/>
        <w:jc w:val="both"/>
        <w:rPr>
          <w:rFonts w:ascii="Times New Roman" w:hAnsi="Times New Roman"/>
          <w:sz w:val="24"/>
          <w:szCs w:val="24"/>
        </w:rPr>
      </w:pPr>
      <w:r>
        <w:rPr>
          <w:rFonts w:ascii="Times New Roman" w:hAnsi="Times New Roman"/>
          <w:sz w:val="24"/>
          <w:szCs w:val="24"/>
        </w:rPr>
        <w:t xml:space="preserve">В этой связи экономическая и </w:t>
      </w:r>
      <w:r w:rsidR="000F36FD">
        <w:rPr>
          <w:rFonts w:ascii="Times New Roman" w:hAnsi="Times New Roman"/>
          <w:sz w:val="24"/>
          <w:szCs w:val="24"/>
        </w:rPr>
        <w:t>финансовая</w:t>
      </w:r>
      <w:r>
        <w:rPr>
          <w:rFonts w:ascii="Times New Roman" w:hAnsi="Times New Roman"/>
          <w:sz w:val="24"/>
          <w:szCs w:val="24"/>
        </w:rPr>
        <w:t xml:space="preserve"> </w:t>
      </w:r>
      <w:r w:rsidRPr="008E0DA0">
        <w:rPr>
          <w:rFonts w:ascii="Times New Roman" w:hAnsi="Times New Roman"/>
          <w:sz w:val="24"/>
          <w:szCs w:val="24"/>
        </w:rPr>
        <w:t>политик</w:t>
      </w:r>
      <w:r w:rsidR="008338DD">
        <w:rPr>
          <w:rFonts w:ascii="Times New Roman" w:hAnsi="Times New Roman"/>
          <w:sz w:val="24"/>
          <w:szCs w:val="24"/>
        </w:rPr>
        <w:t>а</w:t>
      </w:r>
      <w:r w:rsidRPr="008E0DA0">
        <w:rPr>
          <w:rFonts w:ascii="Times New Roman" w:hAnsi="Times New Roman"/>
          <w:sz w:val="24"/>
          <w:szCs w:val="24"/>
        </w:rPr>
        <w:t xml:space="preserve"> </w:t>
      </w:r>
      <w:r>
        <w:rPr>
          <w:rFonts w:ascii="Times New Roman" w:hAnsi="Times New Roman"/>
          <w:sz w:val="24"/>
          <w:szCs w:val="24"/>
        </w:rPr>
        <w:t xml:space="preserve">страны за последние годы </w:t>
      </w:r>
      <w:r w:rsidRPr="008E0DA0">
        <w:rPr>
          <w:rFonts w:ascii="Times New Roman" w:hAnsi="Times New Roman"/>
          <w:sz w:val="24"/>
          <w:szCs w:val="24"/>
        </w:rPr>
        <w:t>претерпел</w:t>
      </w:r>
      <w:r w:rsidR="008338DD">
        <w:rPr>
          <w:rFonts w:ascii="Times New Roman" w:hAnsi="Times New Roman"/>
          <w:sz w:val="24"/>
          <w:szCs w:val="24"/>
        </w:rPr>
        <w:t>и</w:t>
      </w:r>
      <w:r w:rsidRPr="008E0DA0">
        <w:rPr>
          <w:rFonts w:ascii="Times New Roman" w:hAnsi="Times New Roman"/>
          <w:sz w:val="24"/>
          <w:szCs w:val="24"/>
        </w:rPr>
        <w:t xml:space="preserve"> качественные изменения. </w:t>
      </w:r>
      <w:r w:rsidR="001D16BF" w:rsidRPr="001D16BF">
        <w:rPr>
          <w:rFonts w:ascii="Times New Roman" w:hAnsi="Times New Roman"/>
          <w:sz w:val="24"/>
          <w:szCs w:val="24"/>
        </w:rPr>
        <w:t xml:space="preserve">Были созданы зрелые институты макроэкономической </w:t>
      </w:r>
      <w:r w:rsidR="001D16BF">
        <w:rPr>
          <w:rFonts w:ascii="Times New Roman" w:hAnsi="Times New Roman"/>
          <w:sz w:val="24"/>
          <w:szCs w:val="24"/>
        </w:rPr>
        <w:t xml:space="preserve">(в т.ч. бюджетной) </w:t>
      </w:r>
      <w:r w:rsidR="001D16BF" w:rsidRPr="001D16BF">
        <w:rPr>
          <w:rFonts w:ascii="Times New Roman" w:hAnsi="Times New Roman"/>
          <w:sz w:val="24"/>
          <w:szCs w:val="24"/>
        </w:rPr>
        <w:t>политики, по-новому выстро</w:t>
      </w:r>
      <w:r w:rsidR="00977A9F">
        <w:rPr>
          <w:rFonts w:ascii="Times New Roman" w:hAnsi="Times New Roman"/>
          <w:sz w:val="24"/>
          <w:szCs w:val="24"/>
        </w:rPr>
        <w:t>ена</w:t>
      </w:r>
      <w:r w:rsidR="001D16BF" w:rsidRPr="001D16BF">
        <w:rPr>
          <w:rFonts w:ascii="Times New Roman" w:hAnsi="Times New Roman"/>
          <w:sz w:val="24"/>
          <w:szCs w:val="24"/>
        </w:rPr>
        <w:t xml:space="preserve"> систем</w:t>
      </w:r>
      <w:r w:rsidR="00977A9F">
        <w:rPr>
          <w:rFonts w:ascii="Times New Roman" w:hAnsi="Times New Roman"/>
          <w:sz w:val="24"/>
          <w:szCs w:val="24"/>
        </w:rPr>
        <w:t>а</w:t>
      </w:r>
      <w:r w:rsidR="001D16BF" w:rsidRPr="001D16BF">
        <w:rPr>
          <w:rFonts w:ascii="Times New Roman" w:hAnsi="Times New Roman"/>
          <w:sz w:val="24"/>
          <w:szCs w:val="24"/>
        </w:rPr>
        <w:t xml:space="preserve"> межбюджетных отношений</w:t>
      </w:r>
      <w:r w:rsidR="001D16BF">
        <w:rPr>
          <w:rFonts w:ascii="Times New Roman" w:hAnsi="Times New Roman"/>
          <w:sz w:val="24"/>
          <w:szCs w:val="24"/>
        </w:rPr>
        <w:t xml:space="preserve">, </w:t>
      </w:r>
      <w:r w:rsidR="001D16BF" w:rsidRPr="001D16BF">
        <w:rPr>
          <w:rFonts w:ascii="Times New Roman" w:hAnsi="Times New Roman"/>
          <w:sz w:val="24"/>
          <w:szCs w:val="24"/>
        </w:rPr>
        <w:t>заработала собственная инфраструктура финансового рынка</w:t>
      </w:r>
      <w:r w:rsidR="001D16BF">
        <w:rPr>
          <w:rFonts w:ascii="Times New Roman" w:hAnsi="Times New Roman"/>
          <w:sz w:val="24"/>
          <w:szCs w:val="24"/>
        </w:rPr>
        <w:t>.</w:t>
      </w:r>
    </w:p>
    <w:p w:rsidR="001319D1" w:rsidRDefault="00A03015" w:rsidP="00BF3A4C">
      <w:pPr>
        <w:spacing w:before="120" w:after="120"/>
        <w:jc w:val="both"/>
        <w:rPr>
          <w:rFonts w:ascii="Times New Roman" w:hAnsi="Times New Roman"/>
          <w:sz w:val="24"/>
          <w:szCs w:val="24"/>
        </w:rPr>
      </w:pPr>
      <w:r>
        <w:rPr>
          <w:rFonts w:ascii="Times New Roman" w:hAnsi="Times New Roman"/>
          <w:sz w:val="24"/>
          <w:szCs w:val="24"/>
        </w:rPr>
        <w:t>Э</w:t>
      </w:r>
      <w:r w:rsidRPr="008E0DA0">
        <w:rPr>
          <w:rFonts w:ascii="Times New Roman" w:hAnsi="Times New Roman"/>
          <w:sz w:val="24"/>
          <w:szCs w:val="24"/>
        </w:rPr>
        <w:t xml:space="preserve">то позволило быстро и эффективно преодолеть сложнейший в истории страны период и </w:t>
      </w:r>
      <w:r w:rsidR="001319D1">
        <w:rPr>
          <w:rFonts w:ascii="Times New Roman" w:hAnsi="Times New Roman"/>
          <w:sz w:val="24"/>
          <w:szCs w:val="24"/>
        </w:rPr>
        <w:t xml:space="preserve">уже по итогам 2017 года </w:t>
      </w:r>
      <w:r w:rsidRPr="008E0DA0">
        <w:rPr>
          <w:rFonts w:ascii="Times New Roman" w:hAnsi="Times New Roman"/>
          <w:sz w:val="24"/>
          <w:szCs w:val="24"/>
        </w:rPr>
        <w:t xml:space="preserve">выйти </w:t>
      </w:r>
      <w:r w:rsidR="001319D1">
        <w:rPr>
          <w:rFonts w:ascii="Times New Roman" w:hAnsi="Times New Roman"/>
          <w:sz w:val="24"/>
          <w:szCs w:val="24"/>
        </w:rPr>
        <w:t xml:space="preserve">на </w:t>
      </w:r>
      <w:r w:rsidR="001319D1" w:rsidRPr="00967916">
        <w:rPr>
          <w:rFonts w:ascii="Times New Roman" w:hAnsi="Times New Roman"/>
          <w:sz w:val="24"/>
          <w:szCs w:val="24"/>
          <w:u w:val="single"/>
        </w:rPr>
        <w:t>устойчивую траекторию экономического роста</w:t>
      </w:r>
      <w:r w:rsidR="001319D1">
        <w:rPr>
          <w:rFonts w:ascii="Times New Roman" w:hAnsi="Times New Roman"/>
          <w:sz w:val="24"/>
          <w:szCs w:val="24"/>
        </w:rPr>
        <w:t>:</w:t>
      </w:r>
    </w:p>
    <w:p w:rsidR="001319D1" w:rsidRDefault="001319D1" w:rsidP="006A22F2">
      <w:pPr>
        <w:pStyle w:val="aa"/>
        <w:numPr>
          <w:ilvl w:val="0"/>
          <w:numId w:val="9"/>
        </w:numPr>
        <w:spacing w:before="120" w:after="120"/>
        <w:contextualSpacing w:val="0"/>
        <w:jc w:val="both"/>
        <w:rPr>
          <w:rFonts w:ascii="Times New Roman" w:hAnsi="Times New Roman"/>
          <w:sz w:val="24"/>
          <w:szCs w:val="24"/>
        </w:rPr>
      </w:pPr>
      <w:r>
        <w:rPr>
          <w:rFonts w:ascii="Times New Roman" w:hAnsi="Times New Roman"/>
          <w:b/>
          <w:sz w:val="24"/>
          <w:szCs w:val="24"/>
        </w:rPr>
        <w:t xml:space="preserve">Рост ВВП </w:t>
      </w:r>
      <w:r>
        <w:rPr>
          <w:rFonts w:ascii="Times New Roman" w:hAnsi="Times New Roman"/>
          <w:sz w:val="24"/>
          <w:szCs w:val="24"/>
        </w:rPr>
        <w:t xml:space="preserve">в </w:t>
      </w:r>
      <w:r w:rsidRPr="001319D1">
        <w:rPr>
          <w:rFonts w:ascii="Times New Roman" w:hAnsi="Times New Roman"/>
          <w:sz w:val="24"/>
          <w:szCs w:val="24"/>
        </w:rPr>
        <w:t>2017 год</w:t>
      </w:r>
      <w:r>
        <w:rPr>
          <w:rFonts w:ascii="Times New Roman" w:hAnsi="Times New Roman"/>
          <w:sz w:val="24"/>
          <w:szCs w:val="24"/>
        </w:rPr>
        <w:t>у</w:t>
      </w:r>
      <w:r w:rsidRPr="001319D1">
        <w:rPr>
          <w:rFonts w:ascii="Times New Roman" w:hAnsi="Times New Roman"/>
          <w:sz w:val="24"/>
          <w:szCs w:val="24"/>
        </w:rPr>
        <w:t xml:space="preserve"> по</w:t>
      </w:r>
      <w:r>
        <w:rPr>
          <w:rFonts w:ascii="Times New Roman" w:hAnsi="Times New Roman"/>
          <w:sz w:val="24"/>
          <w:szCs w:val="24"/>
        </w:rPr>
        <w:t xml:space="preserve"> оценкам </w:t>
      </w:r>
      <w:r w:rsidRPr="001319D1">
        <w:rPr>
          <w:rFonts w:ascii="Times New Roman" w:hAnsi="Times New Roman"/>
          <w:sz w:val="24"/>
          <w:szCs w:val="24"/>
        </w:rPr>
        <w:t>Минэкономразвития России на основе уточненных</w:t>
      </w:r>
      <w:r>
        <w:rPr>
          <w:rFonts w:ascii="Times New Roman" w:hAnsi="Times New Roman"/>
          <w:sz w:val="24"/>
          <w:szCs w:val="24"/>
        </w:rPr>
        <w:t xml:space="preserve"> данных </w:t>
      </w:r>
      <w:r w:rsidRPr="001319D1">
        <w:rPr>
          <w:rFonts w:ascii="Times New Roman" w:hAnsi="Times New Roman"/>
          <w:sz w:val="24"/>
          <w:szCs w:val="24"/>
        </w:rPr>
        <w:t>годовой отчетности предпр</w:t>
      </w:r>
      <w:r>
        <w:rPr>
          <w:rFonts w:ascii="Times New Roman" w:hAnsi="Times New Roman"/>
          <w:sz w:val="24"/>
          <w:szCs w:val="24"/>
        </w:rPr>
        <w:t xml:space="preserve">иятий мог составить около 2,0% </w:t>
      </w:r>
      <w:r w:rsidR="001A2DCF">
        <w:rPr>
          <w:rFonts w:ascii="Times New Roman" w:hAnsi="Times New Roman"/>
          <w:sz w:val="24"/>
          <w:szCs w:val="24"/>
        </w:rPr>
        <w:t>г/г</w:t>
      </w:r>
      <w:r>
        <w:rPr>
          <w:rFonts w:ascii="Times New Roman" w:hAnsi="Times New Roman"/>
          <w:sz w:val="24"/>
          <w:szCs w:val="24"/>
        </w:rPr>
        <w:t xml:space="preserve">. При этом несмотря на внешние ограничения </w:t>
      </w:r>
      <w:r w:rsidR="00C30AC0">
        <w:rPr>
          <w:rFonts w:ascii="Times New Roman" w:hAnsi="Times New Roman"/>
          <w:sz w:val="24"/>
          <w:szCs w:val="24"/>
        </w:rPr>
        <w:t xml:space="preserve">уверенная </w:t>
      </w:r>
      <w:r>
        <w:rPr>
          <w:rFonts w:ascii="Times New Roman" w:hAnsi="Times New Roman"/>
          <w:sz w:val="24"/>
          <w:szCs w:val="24"/>
        </w:rPr>
        <w:t xml:space="preserve">динамика сохранилась </w:t>
      </w:r>
      <w:r w:rsidR="00C30AC0">
        <w:rPr>
          <w:rFonts w:ascii="Times New Roman" w:hAnsi="Times New Roman"/>
          <w:sz w:val="24"/>
          <w:szCs w:val="24"/>
        </w:rPr>
        <w:t xml:space="preserve">и </w:t>
      </w:r>
      <w:r>
        <w:rPr>
          <w:rFonts w:ascii="Times New Roman" w:hAnsi="Times New Roman"/>
          <w:sz w:val="24"/>
          <w:szCs w:val="24"/>
        </w:rPr>
        <w:t xml:space="preserve">в начале текущего года: за первые пять месяцев рост ВВП оценивается в размере 1,8% </w:t>
      </w:r>
      <w:r w:rsidR="001A2DCF">
        <w:rPr>
          <w:rFonts w:ascii="Times New Roman" w:hAnsi="Times New Roman"/>
          <w:sz w:val="24"/>
          <w:szCs w:val="24"/>
        </w:rPr>
        <w:t xml:space="preserve">г/г </w:t>
      </w:r>
      <w:r>
        <w:rPr>
          <w:rFonts w:ascii="Times New Roman" w:hAnsi="Times New Roman"/>
          <w:sz w:val="24"/>
          <w:szCs w:val="24"/>
        </w:rPr>
        <w:t>с траекторией постепенного ускорения выше 2</w:t>
      </w:r>
      <w:r w:rsidR="001A2DCF">
        <w:rPr>
          <w:rFonts w:ascii="Times New Roman" w:hAnsi="Times New Roman"/>
          <w:sz w:val="24"/>
          <w:szCs w:val="24"/>
        </w:rPr>
        <w:t>,0</w:t>
      </w:r>
      <w:r>
        <w:rPr>
          <w:rFonts w:ascii="Times New Roman" w:hAnsi="Times New Roman"/>
          <w:sz w:val="24"/>
          <w:szCs w:val="24"/>
        </w:rPr>
        <w:t xml:space="preserve">% </w:t>
      </w:r>
      <w:r w:rsidR="001A2DCF">
        <w:rPr>
          <w:rFonts w:ascii="Times New Roman" w:hAnsi="Times New Roman"/>
          <w:sz w:val="24"/>
          <w:szCs w:val="24"/>
        </w:rPr>
        <w:t xml:space="preserve">г/г </w:t>
      </w:r>
      <w:r>
        <w:rPr>
          <w:rFonts w:ascii="Times New Roman" w:hAnsi="Times New Roman"/>
          <w:sz w:val="24"/>
          <w:szCs w:val="24"/>
        </w:rPr>
        <w:t>в апреле-мае;</w:t>
      </w:r>
    </w:p>
    <w:p w:rsidR="001319D1" w:rsidRDefault="001319D1" w:rsidP="006A22F2">
      <w:pPr>
        <w:pStyle w:val="aa"/>
        <w:numPr>
          <w:ilvl w:val="0"/>
          <w:numId w:val="9"/>
        </w:numPr>
        <w:spacing w:before="120" w:after="120"/>
        <w:contextualSpacing w:val="0"/>
        <w:jc w:val="both"/>
        <w:rPr>
          <w:rFonts w:ascii="Times New Roman" w:hAnsi="Times New Roman"/>
          <w:sz w:val="24"/>
          <w:szCs w:val="24"/>
        </w:rPr>
      </w:pPr>
      <w:r w:rsidRPr="008338DD">
        <w:rPr>
          <w:rFonts w:ascii="Times New Roman" w:hAnsi="Times New Roman"/>
          <w:b/>
          <w:sz w:val="24"/>
          <w:szCs w:val="24"/>
        </w:rPr>
        <w:t xml:space="preserve">Расширяется </w:t>
      </w:r>
      <w:r w:rsidR="008338DD" w:rsidRPr="008338DD">
        <w:rPr>
          <w:rFonts w:ascii="Times New Roman" w:hAnsi="Times New Roman"/>
          <w:b/>
          <w:sz w:val="24"/>
          <w:szCs w:val="24"/>
        </w:rPr>
        <w:t>спектр отраслей</w:t>
      </w:r>
      <w:r w:rsidR="008338DD">
        <w:rPr>
          <w:rFonts w:ascii="Times New Roman" w:hAnsi="Times New Roman"/>
          <w:sz w:val="24"/>
          <w:szCs w:val="24"/>
        </w:rPr>
        <w:t xml:space="preserve"> </w:t>
      </w:r>
      <w:r>
        <w:rPr>
          <w:rFonts w:ascii="Times New Roman" w:hAnsi="Times New Roman"/>
          <w:sz w:val="24"/>
          <w:szCs w:val="24"/>
        </w:rPr>
        <w:t xml:space="preserve">с положительной динамикой экономической активности: </w:t>
      </w:r>
      <w:r w:rsidRPr="001319D1">
        <w:rPr>
          <w:rFonts w:ascii="Times New Roman" w:hAnsi="Times New Roman"/>
          <w:sz w:val="24"/>
          <w:szCs w:val="24"/>
        </w:rPr>
        <w:t xml:space="preserve">к ранее показывавшим хорошие результаты экспортоориентированным отраслям добавились </w:t>
      </w:r>
      <w:r w:rsidR="002C1303">
        <w:rPr>
          <w:rFonts w:ascii="Times New Roman" w:hAnsi="Times New Roman"/>
          <w:sz w:val="24"/>
          <w:szCs w:val="24"/>
        </w:rPr>
        <w:t>сектора</w:t>
      </w:r>
      <w:r w:rsidRPr="001319D1">
        <w:rPr>
          <w:rFonts w:ascii="Times New Roman" w:hAnsi="Times New Roman"/>
          <w:sz w:val="24"/>
          <w:szCs w:val="24"/>
        </w:rPr>
        <w:t>, ориентированные на внутренний спрос</w:t>
      </w:r>
      <w:r w:rsidR="008338DD">
        <w:rPr>
          <w:rFonts w:ascii="Times New Roman" w:hAnsi="Times New Roman"/>
          <w:sz w:val="24"/>
          <w:szCs w:val="24"/>
        </w:rPr>
        <w:t>, п</w:t>
      </w:r>
      <w:r w:rsidRPr="001319D1">
        <w:rPr>
          <w:rFonts w:ascii="Times New Roman" w:hAnsi="Times New Roman"/>
          <w:sz w:val="24"/>
          <w:szCs w:val="24"/>
        </w:rPr>
        <w:t xml:space="preserve">ричем </w:t>
      </w:r>
      <w:r w:rsidR="008338DD">
        <w:rPr>
          <w:rFonts w:ascii="Times New Roman" w:hAnsi="Times New Roman"/>
          <w:sz w:val="24"/>
          <w:szCs w:val="24"/>
        </w:rPr>
        <w:t xml:space="preserve">как </w:t>
      </w:r>
      <w:r w:rsidRPr="001319D1">
        <w:rPr>
          <w:rFonts w:ascii="Times New Roman" w:hAnsi="Times New Roman"/>
          <w:sz w:val="24"/>
          <w:szCs w:val="24"/>
        </w:rPr>
        <w:t>потребительски</w:t>
      </w:r>
      <w:r w:rsidR="002C1303">
        <w:rPr>
          <w:rFonts w:ascii="Times New Roman" w:hAnsi="Times New Roman"/>
          <w:sz w:val="24"/>
          <w:szCs w:val="24"/>
        </w:rPr>
        <w:t>й</w:t>
      </w:r>
      <w:r w:rsidRPr="001319D1">
        <w:rPr>
          <w:rFonts w:ascii="Times New Roman" w:hAnsi="Times New Roman"/>
          <w:sz w:val="24"/>
          <w:szCs w:val="24"/>
        </w:rPr>
        <w:t xml:space="preserve"> (пищевая и легкая промышленность, производство мебели и бытовых приборов), </w:t>
      </w:r>
      <w:r w:rsidR="008338DD">
        <w:rPr>
          <w:rFonts w:ascii="Times New Roman" w:hAnsi="Times New Roman"/>
          <w:sz w:val="24"/>
          <w:szCs w:val="24"/>
        </w:rPr>
        <w:t>так</w:t>
      </w:r>
      <w:r w:rsidRPr="001319D1">
        <w:rPr>
          <w:rFonts w:ascii="Times New Roman" w:hAnsi="Times New Roman"/>
          <w:sz w:val="24"/>
          <w:szCs w:val="24"/>
        </w:rPr>
        <w:t xml:space="preserve"> и инвестиционно-ориентированны</w:t>
      </w:r>
      <w:r w:rsidR="002C1303">
        <w:rPr>
          <w:rFonts w:ascii="Times New Roman" w:hAnsi="Times New Roman"/>
          <w:sz w:val="24"/>
          <w:szCs w:val="24"/>
        </w:rPr>
        <w:t>й</w:t>
      </w:r>
      <w:r w:rsidRPr="001319D1">
        <w:rPr>
          <w:rFonts w:ascii="Times New Roman" w:hAnsi="Times New Roman"/>
          <w:sz w:val="24"/>
          <w:szCs w:val="24"/>
        </w:rPr>
        <w:t xml:space="preserve"> (производство стройматериалов, электрического оборудования, машин и оборудования)</w:t>
      </w:r>
      <w:r w:rsidR="009910BC">
        <w:rPr>
          <w:rFonts w:ascii="Times New Roman" w:hAnsi="Times New Roman"/>
          <w:sz w:val="24"/>
          <w:szCs w:val="24"/>
        </w:rPr>
        <w:t>;</w:t>
      </w:r>
    </w:p>
    <w:p w:rsidR="001319D1" w:rsidRDefault="008338DD" w:rsidP="006A22F2">
      <w:pPr>
        <w:pStyle w:val="aa"/>
        <w:numPr>
          <w:ilvl w:val="0"/>
          <w:numId w:val="9"/>
        </w:numPr>
        <w:spacing w:before="120" w:after="120"/>
        <w:ind w:left="357" w:hanging="357"/>
        <w:contextualSpacing w:val="0"/>
        <w:jc w:val="both"/>
        <w:rPr>
          <w:rFonts w:ascii="Times New Roman" w:hAnsi="Times New Roman"/>
          <w:sz w:val="24"/>
          <w:szCs w:val="24"/>
        </w:rPr>
      </w:pPr>
      <w:r w:rsidRPr="008338DD">
        <w:rPr>
          <w:rFonts w:ascii="Times New Roman" w:hAnsi="Times New Roman"/>
          <w:sz w:val="24"/>
          <w:szCs w:val="24"/>
        </w:rPr>
        <w:t>Снижение неопределенности и улучшение деловых настроений способств</w:t>
      </w:r>
      <w:r w:rsidR="009910BC">
        <w:rPr>
          <w:rFonts w:ascii="Times New Roman" w:hAnsi="Times New Roman"/>
          <w:sz w:val="24"/>
          <w:szCs w:val="24"/>
        </w:rPr>
        <w:t>у</w:t>
      </w:r>
      <w:r w:rsidR="00A37E14">
        <w:rPr>
          <w:rFonts w:ascii="Times New Roman" w:hAnsi="Times New Roman"/>
          <w:sz w:val="24"/>
          <w:szCs w:val="24"/>
        </w:rPr>
        <w:t>ет</w:t>
      </w:r>
      <w:r w:rsidRPr="008338DD">
        <w:rPr>
          <w:rFonts w:ascii="Times New Roman" w:hAnsi="Times New Roman"/>
          <w:sz w:val="24"/>
          <w:szCs w:val="24"/>
        </w:rPr>
        <w:t xml:space="preserve"> </w:t>
      </w:r>
      <w:r w:rsidRPr="008338DD">
        <w:rPr>
          <w:rFonts w:ascii="Times New Roman" w:hAnsi="Times New Roman"/>
          <w:b/>
          <w:sz w:val="24"/>
          <w:szCs w:val="24"/>
        </w:rPr>
        <w:t>восстановлению инвестиций</w:t>
      </w:r>
      <w:r>
        <w:rPr>
          <w:rFonts w:ascii="Times New Roman" w:hAnsi="Times New Roman"/>
          <w:sz w:val="24"/>
          <w:szCs w:val="24"/>
        </w:rPr>
        <w:t>:</w:t>
      </w:r>
      <w:r w:rsidRPr="008338DD">
        <w:rPr>
          <w:rFonts w:ascii="Times New Roman" w:hAnsi="Times New Roman"/>
          <w:sz w:val="24"/>
          <w:szCs w:val="24"/>
        </w:rPr>
        <w:t xml:space="preserve"> </w:t>
      </w:r>
      <w:r>
        <w:rPr>
          <w:rFonts w:ascii="Times New Roman" w:hAnsi="Times New Roman"/>
          <w:sz w:val="24"/>
          <w:szCs w:val="24"/>
        </w:rPr>
        <w:t xml:space="preserve">после трех лет сокращения инвестиции в </w:t>
      </w:r>
      <w:r w:rsidRPr="008338DD">
        <w:rPr>
          <w:rFonts w:ascii="Times New Roman" w:hAnsi="Times New Roman"/>
          <w:sz w:val="24"/>
          <w:szCs w:val="24"/>
        </w:rPr>
        <w:t>основно</w:t>
      </w:r>
      <w:r>
        <w:rPr>
          <w:rFonts w:ascii="Times New Roman" w:hAnsi="Times New Roman"/>
          <w:sz w:val="24"/>
          <w:szCs w:val="24"/>
        </w:rPr>
        <w:t>й</w:t>
      </w:r>
      <w:r w:rsidRPr="008338DD">
        <w:rPr>
          <w:rFonts w:ascii="Times New Roman" w:hAnsi="Times New Roman"/>
          <w:sz w:val="24"/>
          <w:szCs w:val="24"/>
        </w:rPr>
        <w:t xml:space="preserve"> </w:t>
      </w:r>
      <w:r w:rsidRPr="008338DD">
        <w:rPr>
          <w:rFonts w:ascii="Times New Roman" w:hAnsi="Times New Roman"/>
          <w:sz w:val="24"/>
          <w:szCs w:val="24"/>
        </w:rPr>
        <w:lastRenderedPageBreak/>
        <w:t xml:space="preserve">капитал </w:t>
      </w:r>
      <w:r>
        <w:rPr>
          <w:rFonts w:ascii="Times New Roman" w:hAnsi="Times New Roman"/>
          <w:sz w:val="24"/>
          <w:szCs w:val="24"/>
        </w:rPr>
        <w:t>выросли на 4</w:t>
      </w:r>
      <w:r w:rsidRPr="008338DD">
        <w:rPr>
          <w:rFonts w:ascii="Times New Roman" w:hAnsi="Times New Roman"/>
          <w:sz w:val="24"/>
          <w:szCs w:val="24"/>
        </w:rPr>
        <w:t>,</w:t>
      </w:r>
      <w:r>
        <w:rPr>
          <w:rFonts w:ascii="Times New Roman" w:hAnsi="Times New Roman"/>
          <w:sz w:val="24"/>
          <w:szCs w:val="24"/>
        </w:rPr>
        <w:t>4</w:t>
      </w:r>
      <w:r w:rsidRPr="008338DD">
        <w:rPr>
          <w:rFonts w:ascii="Times New Roman" w:hAnsi="Times New Roman"/>
          <w:sz w:val="24"/>
          <w:szCs w:val="24"/>
        </w:rPr>
        <w:t xml:space="preserve">% </w:t>
      </w:r>
      <w:r>
        <w:rPr>
          <w:rFonts w:ascii="Times New Roman" w:hAnsi="Times New Roman"/>
          <w:sz w:val="24"/>
          <w:szCs w:val="24"/>
        </w:rPr>
        <w:t xml:space="preserve">г/г </w:t>
      </w:r>
      <w:r w:rsidRPr="008338DD">
        <w:rPr>
          <w:rFonts w:ascii="Times New Roman" w:hAnsi="Times New Roman"/>
          <w:sz w:val="24"/>
          <w:szCs w:val="24"/>
        </w:rPr>
        <w:t>в 2017 году</w:t>
      </w:r>
      <w:r>
        <w:rPr>
          <w:rFonts w:ascii="Times New Roman" w:hAnsi="Times New Roman"/>
          <w:sz w:val="24"/>
          <w:szCs w:val="24"/>
        </w:rPr>
        <w:t xml:space="preserve"> и 3,6% г/г в 1кв</w:t>
      </w:r>
      <w:r w:rsidRPr="008338DD">
        <w:rPr>
          <w:rFonts w:ascii="Times New Roman" w:hAnsi="Times New Roman"/>
          <w:sz w:val="24"/>
          <w:szCs w:val="24"/>
        </w:rPr>
        <w:t>’</w:t>
      </w:r>
      <w:r w:rsidR="009910BC">
        <w:rPr>
          <w:rFonts w:ascii="Times New Roman" w:hAnsi="Times New Roman"/>
          <w:sz w:val="24"/>
          <w:szCs w:val="24"/>
        </w:rPr>
        <w:t xml:space="preserve">18, в то время как в </w:t>
      </w:r>
      <w:r w:rsidRPr="008338DD">
        <w:rPr>
          <w:rFonts w:ascii="Times New Roman" w:hAnsi="Times New Roman"/>
          <w:sz w:val="24"/>
          <w:szCs w:val="24"/>
        </w:rPr>
        <w:t>отдельных се</w:t>
      </w:r>
      <w:r w:rsidR="00A37E14">
        <w:rPr>
          <w:rFonts w:ascii="Times New Roman" w:hAnsi="Times New Roman"/>
          <w:sz w:val="24"/>
          <w:szCs w:val="24"/>
        </w:rPr>
        <w:t>кторах наблюдает</w:t>
      </w:r>
      <w:r w:rsidRPr="008338DD">
        <w:rPr>
          <w:rFonts w:ascii="Times New Roman" w:hAnsi="Times New Roman"/>
          <w:sz w:val="24"/>
          <w:szCs w:val="24"/>
        </w:rPr>
        <w:t xml:space="preserve">ся более </w:t>
      </w:r>
      <w:r w:rsidR="009910BC">
        <w:rPr>
          <w:rFonts w:ascii="Times New Roman" w:hAnsi="Times New Roman"/>
          <w:sz w:val="24"/>
          <w:szCs w:val="24"/>
        </w:rPr>
        <w:t>динамичный рост капиталовложений;</w:t>
      </w:r>
    </w:p>
    <w:p w:rsidR="003037C2" w:rsidRDefault="00E45A56" w:rsidP="006A22F2">
      <w:pPr>
        <w:pStyle w:val="aa"/>
        <w:numPr>
          <w:ilvl w:val="0"/>
          <w:numId w:val="9"/>
        </w:numPr>
        <w:spacing w:before="120" w:after="120"/>
        <w:ind w:left="357" w:hanging="357"/>
        <w:contextualSpacing w:val="0"/>
        <w:jc w:val="both"/>
        <w:rPr>
          <w:rFonts w:ascii="Times New Roman" w:hAnsi="Times New Roman"/>
          <w:sz w:val="24"/>
          <w:szCs w:val="24"/>
        </w:rPr>
      </w:pPr>
      <w:r>
        <w:rPr>
          <w:rFonts w:ascii="Times New Roman" w:hAnsi="Times New Roman"/>
          <w:sz w:val="24"/>
          <w:szCs w:val="24"/>
        </w:rPr>
        <w:t xml:space="preserve">На базе устойчивого замедления инфляции и повышения деловой активности </w:t>
      </w:r>
      <w:r w:rsidR="003037C2">
        <w:rPr>
          <w:rFonts w:ascii="Times New Roman" w:hAnsi="Times New Roman"/>
          <w:sz w:val="24"/>
          <w:szCs w:val="24"/>
        </w:rPr>
        <w:t xml:space="preserve">к положительной динамике вернулись трудовые </w:t>
      </w:r>
      <w:r w:rsidR="003037C2" w:rsidRPr="001A2DCF">
        <w:rPr>
          <w:rFonts w:ascii="Times New Roman" w:hAnsi="Times New Roman"/>
          <w:b/>
          <w:sz w:val="24"/>
          <w:szCs w:val="24"/>
        </w:rPr>
        <w:t>доходы населения</w:t>
      </w:r>
      <w:r w:rsidR="001A2DCF">
        <w:rPr>
          <w:rFonts w:ascii="Times New Roman" w:hAnsi="Times New Roman"/>
          <w:sz w:val="24"/>
          <w:szCs w:val="24"/>
        </w:rPr>
        <w:t>, восстанавливаю</w:t>
      </w:r>
      <w:r w:rsidR="003037C2">
        <w:rPr>
          <w:rFonts w:ascii="Times New Roman" w:hAnsi="Times New Roman"/>
          <w:sz w:val="24"/>
          <w:szCs w:val="24"/>
        </w:rPr>
        <w:t xml:space="preserve">тся </w:t>
      </w:r>
      <w:r w:rsidR="003037C2" w:rsidRPr="001A2DCF">
        <w:rPr>
          <w:rFonts w:ascii="Times New Roman" w:hAnsi="Times New Roman"/>
          <w:sz w:val="24"/>
          <w:szCs w:val="24"/>
        </w:rPr>
        <w:t>потребительск</w:t>
      </w:r>
      <w:r w:rsidR="001A2DCF" w:rsidRPr="001A2DCF">
        <w:rPr>
          <w:rFonts w:ascii="Times New Roman" w:hAnsi="Times New Roman"/>
          <w:sz w:val="24"/>
          <w:szCs w:val="24"/>
        </w:rPr>
        <w:t>ие</w:t>
      </w:r>
      <w:r w:rsidR="003037C2" w:rsidRPr="001A2DCF">
        <w:rPr>
          <w:rFonts w:ascii="Times New Roman" w:hAnsi="Times New Roman"/>
          <w:sz w:val="24"/>
          <w:szCs w:val="24"/>
        </w:rPr>
        <w:t xml:space="preserve"> </w:t>
      </w:r>
      <w:r w:rsidR="001A2DCF" w:rsidRPr="001A2DCF">
        <w:rPr>
          <w:rFonts w:ascii="Times New Roman" w:hAnsi="Times New Roman"/>
          <w:sz w:val="24"/>
          <w:szCs w:val="24"/>
        </w:rPr>
        <w:t>настроения</w:t>
      </w:r>
      <w:r w:rsidR="003037C2">
        <w:rPr>
          <w:rFonts w:ascii="Times New Roman" w:hAnsi="Times New Roman"/>
          <w:sz w:val="24"/>
          <w:szCs w:val="24"/>
        </w:rPr>
        <w:t xml:space="preserve">: рост зарплат </w:t>
      </w:r>
      <w:r w:rsidR="001A2DCF">
        <w:rPr>
          <w:rFonts w:ascii="Times New Roman" w:hAnsi="Times New Roman"/>
          <w:sz w:val="24"/>
          <w:szCs w:val="24"/>
        </w:rPr>
        <w:t xml:space="preserve">в реальном выражении </w:t>
      </w:r>
      <w:r w:rsidR="003037C2">
        <w:rPr>
          <w:rFonts w:ascii="Times New Roman" w:hAnsi="Times New Roman"/>
          <w:sz w:val="24"/>
          <w:szCs w:val="24"/>
        </w:rPr>
        <w:t xml:space="preserve">в 2017 году </w:t>
      </w:r>
      <w:r w:rsidR="001A2DCF">
        <w:rPr>
          <w:rFonts w:ascii="Times New Roman" w:hAnsi="Times New Roman"/>
          <w:sz w:val="24"/>
          <w:szCs w:val="24"/>
        </w:rPr>
        <w:t>составил 2,9% г/г и ускорился до 9,0% г/г по итогам первых пяти месяцев 2018 года.</w:t>
      </w:r>
    </w:p>
    <w:p w:rsidR="003B61C6" w:rsidRDefault="003B61C6" w:rsidP="003B61C6">
      <w:pPr>
        <w:spacing w:before="120" w:after="120"/>
        <w:jc w:val="both"/>
        <w:rPr>
          <w:rFonts w:ascii="Times New Roman" w:hAnsi="Times New Roman"/>
          <w:sz w:val="24"/>
          <w:szCs w:val="24"/>
        </w:rPr>
      </w:pPr>
      <w:r>
        <w:rPr>
          <w:rFonts w:ascii="Times New Roman" w:hAnsi="Times New Roman"/>
          <w:sz w:val="24"/>
          <w:szCs w:val="24"/>
        </w:rPr>
        <w:t xml:space="preserve">Тем не менее, складывающееся в российской экономике равновесие пока рано называть оптимальным. Ниже желаемых </w:t>
      </w:r>
      <w:r w:rsidRPr="009E0B5C">
        <w:rPr>
          <w:rFonts w:ascii="Times New Roman" w:hAnsi="Times New Roman"/>
          <w:sz w:val="24"/>
          <w:szCs w:val="24"/>
        </w:rPr>
        <w:t xml:space="preserve">остаются темпы роста доходов наиболее уязвимых слоев населения, </w:t>
      </w:r>
      <w:r>
        <w:rPr>
          <w:rFonts w:ascii="Times New Roman" w:hAnsi="Times New Roman"/>
          <w:sz w:val="24"/>
          <w:szCs w:val="24"/>
        </w:rPr>
        <w:t xml:space="preserve">увеличение </w:t>
      </w:r>
      <w:r w:rsidRPr="009E0B5C">
        <w:rPr>
          <w:rFonts w:ascii="Times New Roman" w:hAnsi="Times New Roman"/>
          <w:sz w:val="24"/>
          <w:szCs w:val="24"/>
        </w:rPr>
        <w:t>инвестиционной активности идет не</w:t>
      </w:r>
      <w:r>
        <w:rPr>
          <w:rFonts w:ascii="Times New Roman" w:hAnsi="Times New Roman"/>
          <w:sz w:val="24"/>
          <w:szCs w:val="24"/>
        </w:rPr>
        <w:t xml:space="preserve">достаточно быстрыми темпами, </w:t>
      </w:r>
      <w:r w:rsidRPr="009E0B5C">
        <w:rPr>
          <w:rFonts w:ascii="Times New Roman" w:hAnsi="Times New Roman"/>
          <w:sz w:val="24"/>
          <w:szCs w:val="24"/>
        </w:rPr>
        <w:t>сохраняются значительные структурные ограничения для динамичного и сбалансированного развития.</w:t>
      </w:r>
    </w:p>
    <w:p w:rsidR="00FE7054" w:rsidRDefault="00E40CD4" w:rsidP="00977A9F">
      <w:pPr>
        <w:spacing w:before="120" w:after="120"/>
        <w:jc w:val="both"/>
        <w:rPr>
          <w:rFonts w:ascii="Times New Roman" w:hAnsi="Times New Roman"/>
          <w:sz w:val="24"/>
          <w:szCs w:val="24"/>
        </w:rPr>
      </w:pPr>
      <w:r w:rsidRPr="009E0B5C">
        <w:rPr>
          <w:rFonts w:ascii="Times New Roman" w:hAnsi="Times New Roman"/>
          <w:sz w:val="24"/>
          <w:szCs w:val="24"/>
        </w:rPr>
        <w:t>Далее представлены основные итоги реализации б</w:t>
      </w:r>
      <w:r w:rsidRPr="009E702A">
        <w:rPr>
          <w:rFonts w:ascii="Times New Roman" w:hAnsi="Times New Roman"/>
          <w:sz w:val="24"/>
          <w:szCs w:val="24"/>
        </w:rPr>
        <w:t>юджетной</w:t>
      </w:r>
      <w:r>
        <w:rPr>
          <w:rFonts w:ascii="Times New Roman" w:hAnsi="Times New Roman"/>
          <w:sz w:val="24"/>
          <w:szCs w:val="24"/>
        </w:rPr>
        <w:t xml:space="preserve">, </w:t>
      </w:r>
      <w:r w:rsidRPr="00AF6F26">
        <w:rPr>
          <w:rFonts w:ascii="Times New Roman" w:hAnsi="Times New Roman"/>
          <w:sz w:val="24"/>
          <w:szCs w:val="24"/>
        </w:rPr>
        <w:t>налоговой и таможенно-тарифной</w:t>
      </w:r>
      <w:r w:rsidRPr="009E702A">
        <w:rPr>
          <w:rFonts w:ascii="Times New Roman" w:hAnsi="Times New Roman"/>
          <w:sz w:val="24"/>
          <w:szCs w:val="24"/>
        </w:rPr>
        <w:t xml:space="preserve"> политики в 201</w:t>
      </w:r>
      <w:r>
        <w:rPr>
          <w:rFonts w:ascii="Times New Roman" w:hAnsi="Times New Roman"/>
          <w:sz w:val="24"/>
          <w:szCs w:val="24"/>
        </w:rPr>
        <w:t>7</w:t>
      </w:r>
      <w:r w:rsidRPr="009E702A">
        <w:rPr>
          <w:rFonts w:ascii="Times New Roman" w:hAnsi="Times New Roman"/>
          <w:sz w:val="24"/>
          <w:szCs w:val="24"/>
        </w:rPr>
        <w:t>-201</w:t>
      </w:r>
      <w:r>
        <w:rPr>
          <w:rFonts w:ascii="Times New Roman" w:hAnsi="Times New Roman"/>
          <w:sz w:val="24"/>
          <w:szCs w:val="24"/>
        </w:rPr>
        <w:t>8 годах по отдельным целям и направлениям.</w:t>
      </w:r>
    </w:p>
    <w:p w:rsidR="005518AE" w:rsidRDefault="005518AE" w:rsidP="005518AE">
      <w:pPr>
        <w:pStyle w:val="20"/>
        <w:numPr>
          <w:ilvl w:val="1"/>
          <w:numId w:val="3"/>
        </w:numPr>
        <w:spacing w:before="240" w:after="240"/>
        <w:rPr>
          <w:rFonts w:ascii="Times New Roman" w:hAnsi="Times New Roman"/>
          <w:sz w:val="28"/>
          <w:szCs w:val="28"/>
        </w:rPr>
      </w:pPr>
      <w:bookmarkStart w:id="9" w:name="_Toc518648644"/>
      <w:r>
        <w:rPr>
          <w:rFonts w:ascii="Times New Roman" w:hAnsi="Times New Roman"/>
          <w:sz w:val="28"/>
          <w:szCs w:val="28"/>
        </w:rPr>
        <w:t>ПРЕДСКАЗУЕМАЯ И УСТОЙЧИВАЯ СРЕДА</w:t>
      </w:r>
      <w:bookmarkEnd w:id="9"/>
    </w:p>
    <w:p w:rsidR="00335AB1" w:rsidRPr="00335AB1" w:rsidRDefault="00335AB1" w:rsidP="005518AE">
      <w:pPr>
        <w:spacing w:before="120" w:after="120"/>
        <w:jc w:val="both"/>
        <w:rPr>
          <w:rFonts w:ascii="Times New Roman" w:hAnsi="Times New Roman"/>
          <w:sz w:val="24"/>
          <w:szCs w:val="24"/>
        </w:rPr>
      </w:pPr>
      <w:r w:rsidRPr="00335AB1">
        <w:rPr>
          <w:rFonts w:ascii="Times New Roman" w:hAnsi="Times New Roman"/>
          <w:sz w:val="24"/>
          <w:szCs w:val="24"/>
        </w:rPr>
        <w:t>Необходимым условием достижения устойчивых темпов экономического роста и повышения инвестиционной активности является обеспечение макроэкономической стабильности – предсказуемости внутренних экономических условий,</w:t>
      </w:r>
      <w:r>
        <w:rPr>
          <w:rFonts w:ascii="Times New Roman" w:hAnsi="Times New Roman"/>
          <w:sz w:val="24"/>
          <w:szCs w:val="24"/>
        </w:rPr>
        <w:t xml:space="preserve"> обеспечение ус</w:t>
      </w:r>
      <w:r w:rsidR="00C30AC0">
        <w:rPr>
          <w:rFonts w:ascii="Times New Roman" w:hAnsi="Times New Roman"/>
          <w:sz w:val="24"/>
          <w:szCs w:val="24"/>
        </w:rPr>
        <w:t>т</w:t>
      </w:r>
      <w:r>
        <w:rPr>
          <w:rFonts w:ascii="Times New Roman" w:hAnsi="Times New Roman"/>
          <w:sz w:val="24"/>
          <w:szCs w:val="24"/>
        </w:rPr>
        <w:t>ойчиво</w:t>
      </w:r>
      <w:r w:rsidRPr="00335AB1">
        <w:rPr>
          <w:rFonts w:ascii="Times New Roman" w:hAnsi="Times New Roman"/>
          <w:sz w:val="24"/>
          <w:szCs w:val="24"/>
        </w:rPr>
        <w:t xml:space="preserve"> низкой инфляции и долгосрочных процентных ставок, стабильной и понятной для экономических агентов налоговой </w:t>
      </w:r>
      <w:r>
        <w:rPr>
          <w:rFonts w:ascii="Times New Roman" w:hAnsi="Times New Roman"/>
          <w:sz w:val="24"/>
          <w:szCs w:val="24"/>
        </w:rPr>
        <w:t xml:space="preserve">(и квази налоговой) </w:t>
      </w:r>
      <w:r w:rsidRPr="00335AB1">
        <w:rPr>
          <w:rFonts w:ascii="Times New Roman" w:hAnsi="Times New Roman"/>
          <w:sz w:val="24"/>
          <w:szCs w:val="24"/>
        </w:rPr>
        <w:t>системы</w:t>
      </w:r>
      <w:r>
        <w:rPr>
          <w:rFonts w:ascii="Times New Roman" w:hAnsi="Times New Roman"/>
          <w:sz w:val="24"/>
          <w:szCs w:val="24"/>
        </w:rPr>
        <w:t>.</w:t>
      </w:r>
    </w:p>
    <w:p w:rsidR="00335AB1" w:rsidRDefault="003427BA" w:rsidP="005518AE">
      <w:pPr>
        <w:spacing w:before="120" w:after="120"/>
        <w:jc w:val="both"/>
        <w:rPr>
          <w:rFonts w:ascii="Times New Roman" w:hAnsi="Times New Roman"/>
          <w:sz w:val="24"/>
          <w:szCs w:val="24"/>
        </w:rPr>
      </w:pPr>
      <w:r>
        <w:rPr>
          <w:rFonts w:ascii="Times New Roman" w:hAnsi="Times New Roman"/>
          <w:b/>
          <w:sz w:val="28"/>
          <w:szCs w:val="24"/>
        </w:rPr>
        <w:t>Внедрение новой конструкции бюджетных правил</w:t>
      </w:r>
    </w:p>
    <w:p w:rsidR="005518AE" w:rsidRPr="005518AE" w:rsidRDefault="005518AE" w:rsidP="005518AE">
      <w:pPr>
        <w:spacing w:before="120" w:after="120"/>
        <w:jc w:val="both"/>
        <w:rPr>
          <w:rFonts w:ascii="Times New Roman" w:hAnsi="Times New Roman"/>
          <w:sz w:val="24"/>
          <w:szCs w:val="24"/>
        </w:rPr>
      </w:pPr>
      <w:r w:rsidRPr="005518AE">
        <w:rPr>
          <w:rFonts w:ascii="Times New Roman" w:hAnsi="Times New Roman"/>
          <w:sz w:val="24"/>
          <w:szCs w:val="24"/>
        </w:rPr>
        <w:t>В целях формирования предсказуемых экономических условий</w:t>
      </w:r>
      <w:r>
        <w:rPr>
          <w:rFonts w:ascii="Times New Roman" w:hAnsi="Times New Roman"/>
          <w:sz w:val="24"/>
          <w:szCs w:val="24"/>
        </w:rPr>
        <w:t xml:space="preserve"> и снижения </w:t>
      </w:r>
      <w:r w:rsidRPr="005518AE">
        <w:rPr>
          <w:rFonts w:ascii="Times New Roman" w:hAnsi="Times New Roman"/>
          <w:sz w:val="24"/>
          <w:szCs w:val="24"/>
        </w:rPr>
        <w:t xml:space="preserve">зависимости </w:t>
      </w:r>
      <w:r>
        <w:rPr>
          <w:rFonts w:ascii="Times New Roman" w:hAnsi="Times New Roman"/>
          <w:sz w:val="24"/>
          <w:szCs w:val="24"/>
        </w:rPr>
        <w:t>экономики и государственных финансов</w:t>
      </w:r>
      <w:r w:rsidRPr="005518AE">
        <w:rPr>
          <w:rFonts w:ascii="Times New Roman" w:hAnsi="Times New Roman"/>
          <w:sz w:val="24"/>
          <w:szCs w:val="24"/>
        </w:rPr>
        <w:t xml:space="preserve"> от цен на энергоносители был осуществлен переход к </w:t>
      </w:r>
      <w:r>
        <w:rPr>
          <w:rFonts w:ascii="Times New Roman" w:hAnsi="Times New Roman"/>
          <w:sz w:val="24"/>
          <w:szCs w:val="24"/>
        </w:rPr>
        <w:t xml:space="preserve">формированию </w:t>
      </w:r>
      <w:r w:rsidRPr="005518AE">
        <w:rPr>
          <w:rFonts w:ascii="Times New Roman" w:hAnsi="Times New Roman"/>
          <w:sz w:val="24"/>
          <w:szCs w:val="24"/>
        </w:rPr>
        <w:t xml:space="preserve">бюджетной политики на основе </w:t>
      </w:r>
      <w:r>
        <w:rPr>
          <w:rFonts w:ascii="Times New Roman" w:hAnsi="Times New Roman"/>
          <w:sz w:val="24"/>
          <w:szCs w:val="24"/>
        </w:rPr>
        <w:t xml:space="preserve">долгосрочных принципов </w:t>
      </w:r>
      <w:r w:rsidR="00335AB1">
        <w:rPr>
          <w:rFonts w:ascii="Times New Roman" w:hAnsi="Times New Roman"/>
          <w:sz w:val="24"/>
          <w:szCs w:val="24"/>
        </w:rPr>
        <w:t xml:space="preserve">устойчивости и сбалансированности – или </w:t>
      </w:r>
      <w:r w:rsidRPr="00335AB1">
        <w:rPr>
          <w:rFonts w:ascii="Times New Roman" w:hAnsi="Times New Roman"/>
          <w:b/>
          <w:sz w:val="24"/>
          <w:szCs w:val="24"/>
        </w:rPr>
        <w:t>«бюджетных правил»</w:t>
      </w:r>
      <w:r w:rsidRPr="005518AE">
        <w:rPr>
          <w:rFonts w:ascii="Times New Roman" w:hAnsi="Times New Roman"/>
          <w:sz w:val="24"/>
          <w:szCs w:val="24"/>
        </w:rPr>
        <w:t>.</w:t>
      </w:r>
    </w:p>
    <w:p w:rsidR="005518AE" w:rsidRPr="005518AE" w:rsidRDefault="005518AE" w:rsidP="005518AE">
      <w:pPr>
        <w:spacing w:before="120" w:after="120"/>
        <w:jc w:val="both"/>
        <w:rPr>
          <w:rFonts w:ascii="Times New Roman" w:hAnsi="Times New Roman"/>
          <w:sz w:val="24"/>
          <w:szCs w:val="24"/>
        </w:rPr>
      </w:pPr>
      <w:r w:rsidRPr="005518AE">
        <w:rPr>
          <w:rFonts w:ascii="Times New Roman" w:hAnsi="Times New Roman"/>
          <w:sz w:val="24"/>
          <w:szCs w:val="24"/>
        </w:rPr>
        <w:t>Переходные положения новой конструкции бюджетных правил начали реализовываться уже в 2017 году, после принятия решения о сохранении дополнительных нефтегазовых доходов, формируемых при превышении ценой на нефть отметки 40 долларов США за баррель, и проведении операции на валютном рынке во взаимодействии с Банком России по покупке иностранной валюты в эквивалентных объемах</w:t>
      </w:r>
      <w:r w:rsidRPr="005518AE">
        <w:rPr>
          <w:rFonts w:ascii="Times New Roman" w:hAnsi="Times New Roman"/>
          <w:sz w:val="24"/>
          <w:szCs w:val="24"/>
          <w:vertAlign w:val="superscript"/>
        </w:rPr>
        <w:footnoteReference w:id="1"/>
      </w:r>
      <w:r w:rsidRPr="005518AE">
        <w:rPr>
          <w:rFonts w:ascii="Times New Roman" w:hAnsi="Times New Roman"/>
          <w:sz w:val="24"/>
          <w:szCs w:val="24"/>
        </w:rPr>
        <w:t>.</w:t>
      </w:r>
    </w:p>
    <w:p w:rsidR="005518AE" w:rsidRDefault="00335AB1" w:rsidP="005518AE">
      <w:pPr>
        <w:spacing w:before="120" w:after="120"/>
        <w:jc w:val="both"/>
        <w:rPr>
          <w:rFonts w:ascii="Times New Roman" w:hAnsi="Times New Roman"/>
          <w:sz w:val="24"/>
          <w:szCs w:val="24"/>
        </w:rPr>
      </w:pPr>
      <w:r>
        <w:rPr>
          <w:rFonts w:ascii="Times New Roman" w:hAnsi="Times New Roman"/>
          <w:sz w:val="24"/>
          <w:szCs w:val="24"/>
        </w:rPr>
        <w:t>Такая</w:t>
      </w:r>
      <w:r w:rsidR="005518AE" w:rsidRPr="005518AE">
        <w:rPr>
          <w:rFonts w:ascii="Times New Roman" w:hAnsi="Times New Roman"/>
          <w:sz w:val="24"/>
          <w:szCs w:val="24"/>
        </w:rPr>
        <w:t xml:space="preserve"> координация между параметрами </w:t>
      </w:r>
      <w:r w:rsidR="002C1303">
        <w:rPr>
          <w:rFonts w:ascii="Times New Roman" w:hAnsi="Times New Roman"/>
          <w:sz w:val="24"/>
          <w:szCs w:val="24"/>
        </w:rPr>
        <w:t>«</w:t>
      </w:r>
      <w:r w:rsidR="005518AE" w:rsidRPr="005518AE">
        <w:rPr>
          <w:rFonts w:ascii="Times New Roman" w:hAnsi="Times New Roman"/>
          <w:sz w:val="24"/>
          <w:szCs w:val="24"/>
        </w:rPr>
        <w:t>бюджетн</w:t>
      </w:r>
      <w:r w:rsidR="002C1303">
        <w:rPr>
          <w:rFonts w:ascii="Times New Roman" w:hAnsi="Times New Roman"/>
          <w:sz w:val="24"/>
          <w:szCs w:val="24"/>
        </w:rPr>
        <w:t>ых</w:t>
      </w:r>
      <w:r w:rsidR="005518AE" w:rsidRPr="005518AE">
        <w:rPr>
          <w:rFonts w:ascii="Times New Roman" w:hAnsi="Times New Roman"/>
          <w:sz w:val="24"/>
          <w:szCs w:val="24"/>
        </w:rPr>
        <w:t xml:space="preserve"> правил</w:t>
      </w:r>
      <w:r w:rsidR="002C1303">
        <w:rPr>
          <w:rFonts w:ascii="Times New Roman" w:hAnsi="Times New Roman"/>
          <w:sz w:val="24"/>
          <w:szCs w:val="24"/>
        </w:rPr>
        <w:t>», определяющими</w:t>
      </w:r>
      <w:r w:rsidR="005518AE" w:rsidRPr="005518AE">
        <w:rPr>
          <w:rFonts w:ascii="Times New Roman" w:hAnsi="Times New Roman"/>
          <w:sz w:val="24"/>
          <w:szCs w:val="24"/>
        </w:rPr>
        <w:t xml:space="preserve"> использование рентных нефтегазовых доходов в бюджетной системе и параметрами, </w:t>
      </w:r>
      <w:r w:rsidR="005518AE" w:rsidRPr="005518AE">
        <w:rPr>
          <w:rFonts w:ascii="Times New Roman" w:hAnsi="Times New Roman"/>
          <w:sz w:val="24"/>
          <w:szCs w:val="24"/>
        </w:rPr>
        <w:lastRenderedPageBreak/>
        <w:t xml:space="preserve">регулирующими операции по накоплению/использованию активов в иностранной валюте, позволяет обеспечить снижение зависимости реального эффективного курса рубля от колебаний цен на нефть. Таким образом, механизм </w:t>
      </w:r>
      <w:r w:rsidR="002C1303">
        <w:rPr>
          <w:rFonts w:ascii="Times New Roman" w:hAnsi="Times New Roman"/>
          <w:sz w:val="24"/>
          <w:szCs w:val="24"/>
        </w:rPr>
        <w:t>«</w:t>
      </w:r>
      <w:r w:rsidR="005518AE" w:rsidRPr="005518AE">
        <w:rPr>
          <w:rFonts w:ascii="Times New Roman" w:hAnsi="Times New Roman"/>
          <w:sz w:val="24"/>
          <w:szCs w:val="24"/>
        </w:rPr>
        <w:t>бюджетных правил</w:t>
      </w:r>
      <w:r w:rsidR="002C1303">
        <w:rPr>
          <w:rFonts w:ascii="Times New Roman" w:hAnsi="Times New Roman"/>
          <w:sz w:val="24"/>
          <w:szCs w:val="24"/>
        </w:rPr>
        <w:t>»</w:t>
      </w:r>
      <w:r w:rsidR="005518AE" w:rsidRPr="005518AE">
        <w:rPr>
          <w:rFonts w:ascii="Times New Roman" w:hAnsi="Times New Roman"/>
          <w:sz w:val="24"/>
          <w:szCs w:val="24"/>
        </w:rPr>
        <w:t xml:space="preserve"> по сути фиксиру</w:t>
      </w:r>
      <w:r w:rsidR="002C1303">
        <w:rPr>
          <w:rFonts w:ascii="Times New Roman" w:hAnsi="Times New Roman"/>
          <w:sz w:val="24"/>
          <w:szCs w:val="24"/>
        </w:rPr>
        <w:t>е</w:t>
      </w:r>
      <w:r w:rsidR="005518AE" w:rsidRPr="005518AE">
        <w:rPr>
          <w:rFonts w:ascii="Times New Roman" w:hAnsi="Times New Roman"/>
          <w:sz w:val="24"/>
          <w:szCs w:val="24"/>
        </w:rPr>
        <w:t>т определенный уровень цен на нефть для ненефтегазовой экономики и позволяет нивелировать влияние флуктуации цен на мировых рынках – как краткосрочных, так и долгосрочных сырьевых суперциклов – на внутренние макроэкономические условия.</w:t>
      </w:r>
    </w:p>
    <w:p w:rsidR="00335AB1" w:rsidRDefault="00335AB1" w:rsidP="005518AE">
      <w:pPr>
        <w:spacing w:before="120" w:after="120"/>
        <w:jc w:val="both"/>
        <w:rPr>
          <w:rFonts w:ascii="Times New Roman" w:hAnsi="Times New Roman"/>
          <w:sz w:val="24"/>
          <w:szCs w:val="24"/>
        </w:rPr>
      </w:pPr>
      <w:r w:rsidRPr="000E0F15">
        <w:rPr>
          <w:rFonts w:ascii="Times New Roman" w:hAnsi="Times New Roman"/>
          <w:sz w:val="24"/>
          <w:szCs w:val="24"/>
        </w:rPr>
        <w:t xml:space="preserve">К ключевым </w:t>
      </w:r>
      <w:r w:rsidRPr="000E0F15">
        <w:rPr>
          <w:rFonts w:ascii="Times New Roman" w:hAnsi="Times New Roman"/>
          <w:sz w:val="24"/>
          <w:szCs w:val="24"/>
          <w:u w:val="single"/>
        </w:rPr>
        <w:t>итогам реализации новой конструкциии «бюджетных правил»</w:t>
      </w:r>
      <w:r w:rsidRPr="000E0F15">
        <w:rPr>
          <w:rFonts w:ascii="Times New Roman" w:hAnsi="Times New Roman"/>
          <w:sz w:val="24"/>
          <w:szCs w:val="24"/>
        </w:rPr>
        <w:t xml:space="preserve"> можно отнести</w:t>
      </w:r>
      <w:r>
        <w:rPr>
          <w:rFonts w:ascii="Times New Roman" w:hAnsi="Times New Roman"/>
          <w:sz w:val="24"/>
          <w:szCs w:val="24"/>
        </w:rPr>
        <w:t>:</w:t>
      </w:r>
    </w:p>
    <w:p w:rsidR="001436D6" w:rsidRPr="001436D6" w:rsidRDefault="001436D6" w:rsidP="006A22F2">
      <w:pPr>
        <w:pStyle w:val="aa"/>
        <w:numPr>
          <w:ilvl w:val="0"/>
          <w:numId w:val="9"/>
        </w:numPr>
        <w:spacing w:before="120" w:after="120"/>
        <w:contextualSpacing w:val="0"/>
        <w:jc w:val="both"/>
        <w:rPr>
          <w:rFonts w:ascii="Times New Roman" w:hAnsi="Times New Roman"/>
          <w:sz w:val="24"/>
          <w:szCs w:val="24"/>
        </w:rPr>
      </w:pPr>
      <w:r w:rsidRPr="001436D6">
        <w:rPr>
          <w:rFonts w:ascii="Times New Roman" w:hAnsi="Times New Roman"/>
          <w:b/>
          <w:sz w:val="24"/>
          <w:szCs w:val="24"/>
        </w:rPr>
        <w:t>Снижение чувствительности курсовых колебаний к динамике цен на нефть</w:t>
      </w:r>
      <w:r w:rsidRPr="001436D6">
        <w:rPr>
          <w:rFonts w:ascii="Times New Roman" w:hAnsi="Times New Roman"/>
          <w:sz w:val="24"/>
          <w:szCs w:val="24"/>
        </w:rPr>
        <w:t>. Проведение операций по покупке</w:t>
      </w:r>
      <w:r w:rsidR="000E0F15">
        <w:rPr>
          <w:rFonts w:ascii="Times New Roman" w:hAnsi="Times New Roman"/>
          <w:sz w:val="24"/>
          <w:szCs w:val="24"/>
        </w:rPr>
        <w:t>/продаже</w:t>
      </w:r>
      <w:r w:rsidRPr="001436D6">
        <w:rPr>
          <w:rFonts w:ascii="Times New Roman" w:hAnsi="Times New Roman"/>
          <w:sz w:val="24"/>
          <w:szCs w:val="24"/>
        </w:rPr>
        <w:t xml:space="preserve"> иностранной валюты в объеме эквивалентном дополнительным</w:t>
      </w:r>
      <w:r w:rsidR="000E0F15">
        <w:rPr>
          <w:rFonts w:ascii="Times New Roman" w:hAnsi="Times New Roman"/>
          <w:sz w:val="24"/>
          <w:szCs w:val="24"/>
        </w:rPr>
        <w:t>/выпадающим</w:t>
      </w:r>
      <w:r w:rsidRPr="001436D6">
        <w:rPr>
          <w:rFonts w:ascii="Times New Roman" w:hAnsi="Times New Roman"/>
          <w:sz w:val="24"/>
          <w:szCs w:val="24"/>
        </w:rPr>
        <w:t xml:space="preserve"> нефтегазовым доходам позволяет стерилизовать около 2/3 </w:t>
      </w:r>
      <w:r w:rsidR="000E0F15">
        <w:rPr>
          <w:rFonts w:ascii="Times New Roman" w:hAnsi="Times New Roman"/>
          <w:sz w:val="24"/>
          <w:szCs w:val="24"/>
        </w:rPr>
        <w:t xml:space="preserve">конъюнктурных потоков </w:t>
      </w:r>
      <w:r w:rsidRPr="001436D6">
        <w:rPr>
          <w:rFonts w:ascii="Times New Roman" w:hAnsi="Times New Roman"/>
          <w:sz w:val="24"/>
          <w:szCs w:val="24"/>
        </w:rPr>
        <w:t>валюты по счету текущих операций, связанн</w:t>
      </w:r>
      <w:r w:rsidR="000E0F15">
        <w:rPr>
          <w:rFonts w:ascii="Times New Roman" w:hAnsi="Times New Roman"/>
          <w:sz w:val="24"/>
          <w:szCs w:val="24"/>
        </w:rPr>
        <w:t>ых</w:t>
      </w:r>
      <w:r w:rsidRPr="001436D6">
        <w:rPr>
          <w:rFonts w:ascii="Times New Roman" w:hAnsi="Times New Roman"/>
          <w:sz w:val="24"/>
          <w:szCs w:val="24"/>
        </w:rPr>
        <w:t xml:space="preserve"> с </w:t>
      </w:r>
      <w:r w:rsidR="000E0F15">
        <w:rPr>
          <w:rFonts w:ascii="Times New Roman" w:hAnsi="Times New Roman"/>
          <w:sz w:val="24"/>
          <w:szCs w:val="24"/>
        </w:rPr>
        <w:t xml:space="preserve">колебаниями </w:t>
      </w:r>
      <w:r w:rsidRPr="001436D6">
        <w:rPr>
          <w:rFonts w:ascii="Times New Roman" w:hAnsi="Times New Roman"/>
          <w:sz w:val="24"/>
          <w:szCs w:val="24"/>
        </w:rPr>
        <w:t>нефтяных котировок. В результате при повышенном уровне колебания нефтяных котир</w:t>
      </w:r>
      <w:r>
        <w:rPr>
          <w:rFonts w:ascii="Times New Roman" w:hAnsi="Times New Roman"/>
          <w:sz w:val="24"/>
          <w:szCs w:val="24"/>
        </w:rPr>
        <w:t>овок в 2017-18 годах (от 43 до 8</w:t>
      </w:r>
      <w:r w:rsidRPr="001436D6">
        <w:rPr>
          <w:rFonts w:ascii="Times New Roman" w:hAnsi="Times New Roman"/>
          <w:sz w:val="24"/>
          <w:szCs w:val="24"/>
        </w:rPr>
        <w:t xml:space="preserve">0 долларов США за баррель, или </w:t>
      </w:r>
      <w:r w:rsidR="000E0F15">
        <w:rPr>
          <w:rFonts w:ascii="Times New Roman" w:hAnsi="Times New Roman"/>
          <w:sz w:val="24"/>
          <w:szCs w:val="24"/>
        </w:rPr>
        <w:t>около 9</w:t>
      </w:r>
      <w:r w:rsidRPr="001436D6">
        <w:rPr>
          <w:rFonts w:ascii="Times New Roman" w:hAnsi="Times New Roman"/>
          <w:sz w:val="24"/>
          <w:szCs w:val="24"/>
        </w:rPr>
        <w:t>0%), колебания курса рубля по отношению к доллару США сохранились в относительно узком диапазоне (от 56 до 6</w:t>
      </w:r>
      <w:r w:rsidR="000E0F15">
        <w:rPr>
          <w:rFonts w:ascii="Times New Roman" w:hAnsi="Times New Roman"/>
          <w:sz w:val="24"/>
          <w:szCs w:val="24"/>
        </w:rPr>
        <w:t>4</w:t>
      </w:r>
      <w:r w:rsidRPr="001436D6">
        <w:rPr>
          <w:rFonts w:ascii="Times New Roman" w:hAnsi="Times New Roman"/>
          <w:sz w:val="24"/>
          <w:szCs w:val="24"/>
        </w:rPr>
        <w:t xml:space="preserve"> рубля, или </w:t>
      </w:r>
      <w:r w:rsidR="000E0F15">
        <w:rPr>
          <w:rFonts w:ascii="Times New Roman" w:hAnsi="Times New Roman"/>
          <w:sz w:val="24"/>
          <w:szCs w:val="24"/>
        </w:rPr>
        <w:t>14</w:t>
      </w:r>
      <w:r w:rsidRPr="001436D6">
        <w:rPr>
          <w:rFonts w:ascii="Times New Roman" w:hAnsi="Times New Roman"/>
          <w:sz w:val="24"/>
          <w:szCs w:val="24"/>
        </w:rPr>
        <w:t xml:space="preserve">%); </w:t>
      </w:r>
    </w:p>
    <w:tbl>
      <w:tblPr>
        <w:tblStyle w:val="Smalltable"/>
        <w:tblW w:w="10363" w:type="dxa"/>
        <w:tblInd w:w="-823" w:type="dxa"/>
        <w:tblLayout w:type="fixed"/>
        <w:tblLook w:val="04A0" w:firstRow="1" w:lastRow="0" w:firstColumn="1" w:lastColumn="0" w:noHBand="0" w:noVBand="1"/>
      </w:tblPr>
      <w:tblGrid>
        <w:gridCol w:w="5104"/>
        <w:gridCol w:w="220"/>
        <w:gridCol w:w="14"/>
        <w:gridCol w:w="4869"/>
        <w:gridCol w:w="156"/>
      </w:tblGrid>
      <w:tr w:rsidR="001436D6" w:rsidRPr="00180B0E" w:rsidTr="00025225">
        <w:trPr>
          <w:gridAfter w:val="1"/>
          <w:wAfter w:w="156" w:type="dxa"/>
          <w:trHeight w:val="198"/>
        </w:trPr>
        <w:tc>
          <w:tcPr>
            <w:tcW w:w="5104" w:type="dxa"/>
            <w:shd w:val="clear" w:color="auto" w:fill="auto"/>
          </w:tcPr>
          <w:p w:rsidR="001436D6" w:rsidRPr="008823F8" w:rsidRDefault="001436D6" w:rsidP="001436D6">
            <w:pPr>
              <w:suppressAutoHyphens/>
              <w:spacing w:before="120" w:after="40"/>
              <w:rPr>
                <w:rFonts w:ascii="Times New Roman" w:hAnsi="Times New Roman"/>
                <w:b/>
                <w:sz w:val="24"/>
                <w:szCs w:val="24"/>
                <w:lang w:val="ru-RU" w:bidi="ml-IN"/>
              </w:rPr>
            </w:pPr>
            <w:r w:rsidRPr="001436D6">
              <w:rPr>
                <w:rFonts w:ascii="Times New Roman" w:hAnsi="Times New Roman"/>
                <w:b/>
                <w:sz w:val="24"/>
                <w:szCs w:val="24"/>
                <w:lang w:val="ru-RU" w:bidi="ml-IN"/>
              </w:rPr>
              <w:t>Влияние изменения цен на нефть на текущ</w:t>
            </w:r>
            <w:r>
              <w:rPr>
                <w:rFonts w:ascii="Times New Roman" w:hAnsi="Times New Roman"/>
                <w:b/>
                <w:sz w:val="24"/>
                <w:szCs w:val="24"/>
                <w:lang w:val="ru-RU" w:bidi="ml-IN"/>
              </w:rPr>
              <w:t>ий</w:t>
            </w:r>
            <w:r w:rsidRPr="001436D6">
              <w:rPr>
                <w:rFonts w:ascii="Times New Roman" w:hAnsi="Times New Roman"/>
                <w:b/>
                <w:sz w:val="24"/>
                <w:szCs w:val="24"/>
                <w:lang w:val="ru-RU" w:bidi="ml-IN"/>
              </w:rPr>
              <w:t xml:space="preserve"> счет</w:t>
            </w:r>
            <w:r>
              <w:rPr>
                <w:rFonts w:ascii="Times New Roman" w:hAnsi="Times New Roman"/>
                <w:b/>
                <w:sz w:val="24"/>
                <w:szCs w:val="24"/>
                <w:lang w:val="ru-RU" w:bidi="ml-IN"/>
              </w:rPr>
              <w:t xml:space="preserve"> платежного баланса</w:t>
            </w:r>
          </w:p>
        </w:tc>
        <w:tc>
          <w:tcPr>
            <w:tcW w:w="220" w:type="dxa"/>
            <w:shd w:val="clear" w:color="auto" w:fill="auto"/>
          </w:tcPr>
          <w:p w:rsidR="001436D6" w:rsidRPr="008823F8" w:rsidRDefault="001436D6" w:rsidP="00025225">
            <w:pPr>
              <w:suppressAutoHyphens/>
              <w:spacing w:before="120" w:after="40"/>
              <w:rPr>
                <w:rFonts w:ascii="Times New Roman" w:hAnsi="Times New Roman"/>
                <w:sz w:val="24"/>
                <w:szCs w:val="24"/>
                <w:lang w:val="ru-RU" w:bidi="ml-IN"/>
              </w:rPr>
            </w:pPr>
          </w:p>
        </w:tc>
        <w:tc>
          <w:tcPr>
            <w:tcW w:w="4883" w:type="dxa"/>
            <w:gridSpan w:val="2"/>
            <w:shd w:val="clear" w:color="auto" w:fill="auto"/>
          </w:tcPr>
          <w:p w:rsidR="001436D6" w:rsidRPr="00180B0E" w:rsidRDefault="00FF0A5F" w:rsidP="00025225">
            <w:pPr>
              <w:suppressAutoHyphens/>
              <w:spacing w:before="120" w:after="40"/>
              <w:rPr>
                <w:rFonts w:ascii="Times New Roman" w:hAnsi="Times New Roman"/>
                <w:b/>
                <w:sz w:val="24"/>
                <w:szCs w:val="24"/>
                <w:lang w:val="ru-RU" w:bidi="ml-IN"/>
              </w:rPr>
            </w:pPr>
            <w:r w:rsidRPr="00FF0A5F">
              <w:rPr>
                <w:rFonts w:ascii="Times New Roman" w:hAnsi="Times New Roman"/>
                <w:b/>
                <w:sz w:val="24"/>
                <w:szCs w:val="24"/>
                <w:lang w:val="ru-RU" w:bidi="ml-IN"/>
              </w:rPr>
              <w:t>Чувствительность валютного курса рубля к ценам на нефть</w:t>
            </w:r>
          </w:p>
        </w:tc>
      </w:tr>
      <w:tr w:rsidR="001436D6" w:rsidRPr="00180B0E" w:rsidTr="00025225">
        <w:trPr>
          <w:gridAfter w:val="1"/>
          <w:wAfter w:w="156" w:type="dxa"/>
          <w:trHeight w:hRule="exact" w:val="28"/>
        </w:trPr>
        <w:tc>
          <w:tcPr>
            <w:tcW w:w="5104" w:type="dxa"/>
            <w:tcBorders>
              <w:bottom w:val="single" w:sz="4" w:space="0" w:color="auto"/>
            </w:tcBorders>
            <w:shd w:val="clear" w:color="auto" w:fill="auto"/>
          </w:tcPr>
          <w:p w:rsidR="001436D6" w:rsidRPr="006F0FD8" w:rsidRDefault="001436D6" w:rsidP="00025225">
            <w:pPr>
              <w:rPr>
                <w:rFonts w:ascii="Times New Roman" w:hAnsi="Times New Roman"/>
                <w:lang w:val="ru-RU" w:bidi="ml-IN"/>
              </w:rPr>
            </w:pPr>
          </w:p>
        </w:tc>
        <w:tc>
          <w:tcPr>
            <w:tcW w:w="220" w:type="dxa"/>
            <w:shd w:val="clear" w:color="auto" w:fill="auto"/>
          </w:tcPr>
          <w:p w:rsidR="001436D6" w:rsidRPr="006F0FD8" w:rsidRDefault="001436D6" w:rsidP="00025225">
            <w:pPr>
              <w:rPr>
                <w:rFonts w:ascii="Times New Roman" w:hAnsi="Times New Roman"/>
                <w:lang w:val="ru-RU" w:bidi="ml-IN"/>
              </w:rPr>
            </w:pPr>
          </w:p>
        </w:tc>
        <w:tc>
          <w:tcPr>
            <w:tcW w:w="4883" w:type="dxa"/>
            <w:gridSpan w:val="2"/>
            <w:tcBorders>
              <w:bottom w:val="single" w:sz="4" w:space="0" w:color="auto"/>
            </w:tcBorders>
            <w:shd w:val="clear" w:color="auto" w:fill="auto"/>
          </w:tcPr>
          <w:p w:rsidR="001436D6" w:rsidRPr="00180B0E" w:rsidRDefault="001436D6" w:rsidP="00025225">
            <w:pPr>
              <w:rPr>
                <w:rFonts w:ascii="Times New Roman" w:hAnsi="Times New Roman"/>
                <w:lang w:val="ru-RU" w:bidi="ml-IN"/>
              </w:rPr>
            </w:pPr>
          </w:p>
        </w:tc>
      </w:tr>
      <w:tr w:rsidR="001436D6" w:rsidRPr="00180B0E" w:rsidTr="00025225">
        <w:tblPrEx>
          <w:tblCellMar>
            <w:left w:w="108" w:type="dxa"/>
            <w:right w:w="108" w:type="dxa"/>
          </w:tblCellMar>
        </w:tblPrEx>
        <w:trPr>
          <w:trHeight w:val="2200"/>
        </w:trPr>
        <w:tc>
          <w:tcPr>
            <w:tcW w:w="5104" w:type="dxa"/>
            <w:tcBorders>
              <w:top w:val="single" w:sz="4" w:space="0" w:color="auto"/>
              <w:bottom w:val="single" w:sz="4" w:space="0" w:color="auto"/>
            </w:tcBorders>
            <w:shd w:val="clear" w:color="auto" w:fill="auto"/>
            <w:tcMar>
              <w:left w:w="0" w:type="nil"/>
              <w:right w:w="0" w:type="nil"/>
            </w:tcMar>
            <w:vAlign w:val="center"/>
          </w:tcPr>
          <w:p w:rsidR="001436D6" w:rsidRPr="002A1206" w:rsidRDefault="001436D6" w:rsidP="00025225">
            <w:pPr>
              <w:jc w:val="left"/>
              <w:rPr>
                <w:rFonts w:ascii="Times New Roman" w:hAnsi="Times New Roman"/>
                <w:lang w:val="ru-RU" w:bidi="ml-IN"/>
              </w:rPr>
            </w:pPr>
            <w:r w:rsidRPr="003D45D8">
              <w:rPr>
                <w:rFonts w:ascii="Times New Roman" w:hAnsi="Times New Roman"/>
                <w:noProof/>
                <w:lang w:eastAsia="ru-RU"/>
              </w:rPr>
              <w:drawing>
                <wp:inline distT="0" distB="0" distL="0" distR="0" wp14:anchorId="79C99428" wp14:editId="4545B459">
                  <wp:extent cx="3124200" cy="2419350"/>
                  <wp:effectExtent l="0" t="0" r="0" b="0"/>
                  <wp:docPr id="294" name="Диаграмма 2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234" w:type="dxa"/>
            <w:gridSpan w:val="2"/>
            <w:shd w:val="clear" w:color="auto" w:fill="auto"/>
            <w:tcMar>
              <w:left w:w="0" w:type="nil"/>
              <w:right w:w="0" w:type="nil"/>
            </w:tcMar>
          </w:tcPr>
          <w:p w:rsidR="001436D6" w:rsidRPr="002A1206" w:rsidRDefault="001436D6" w:rsidP="00025225">
            <w:pPr>
              <w:rPr>
                <w:rFonts w:ascii="Times New Roman" w:hAnsi="Times New Roman"/>
                <w:lang w:val="ru-RU" w:bidi="ml-IN"/>
              </w:rPr>
            </w:pPr>
          </w:p>
        </w:tc>
        <w:tc>
          <w:tcPr>
            <w:tcW w:w="5025" w:type="dxa"/>
            <w:gridSpan w:val="2"/>
            <w:tcBorders>
              <w:top w:val="single" w:sz="4" w:space="0" w:color="auto"/>
              <w:bottom w:val="single" w:sz="4" w:space="0" w:color="auto"/>
            </w:tcBorders>
            <w:shd w:val="clear" w:color="auto" w:fill="auto"/>
            <w:tcMar>
              <w:left w:w="0" w:type="nil"/>
              <w:right w:w="0" w:type="nil"/>
            </w:tcMar>
            <w:vAlign w:val="center"/>
          </w:tcPr>
          <w:p w:rsidR="001436D6" w:rsidRPr="00180B0E" w:rsidRDefault="001436D6" w:rsidP="00025225">
            <w:pPr>
              <w:jc w:val="left"/>
              <w:rPr>
                <w:rFonts w:ascii="Times New Roman" w:eastAsia="Calibri" w:hAnsi="Times New Roman"/>
                <w:lang w:val="ru-RU" w:bidi="ml-IN"/>
              </w:rPr>
            </w:pPr>
            <w:r>
              <w:rPr>
                <w:noProof/>
                <w:lang w:eastAsia="ru-RU"/>
              </w:rPr>
              <w:t xml:space="preserve"> </w:t>
            </w:r>
            <w:r w:rsidR="004900BA">
              <w:rPr>
                <w:noProof/>
                <w:lang w:eastAsia="ru-RU"/>
              </w:rPr>
              <w:drawing>
                <wp:inline distT="0" distB="0" distL="0" distR="0" wp14:anchorId="1E2490E0" wp14:editId="7BD6B358">
                  <wp:extent cx="3004185" cy="2398816"/>
                  <wp:effectExtent l="0" t="0" r="5715" b="0"/>
                  <wp:docPr id="2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1436D6" w:rsidRPr="006F0FD8" w:rsidTr="00025225">
        <w:trPr>
          <w:gridAfter w:val="1"/>
          <w:wAfter w:w="156" w:type="dxa"/>
          <w:trHeight w:val="198"/>
        </w:trPr>
        <w:tc>
          <w:tcPr>
            <w:tcW w:w="5104" w:type="dxa"/>
            <w:tcBorders>
              <w:top w:val="single" w:sz="4" w:space="0" w:color="auto"/>
            </w:tcBorders>
            <w:shd w:val="clear" w:color="auto" w:fill="auto"/>
          </w:tcPr>
          <w:p w:rsidR="001436D6" w:rsidRPr="006F0FD8" w:rsidRDefault="00FF0A5F" w:rsidP="00FF0A5F">
            <w:pPr>
              <w:suppressAutoHyphens/>
              <w:spacing w:after="240" w:line="160" w:lineRule="atLeast"/>
              <w:rPr>
                <w:rFonts w:ascii="Times New Roman" w:hAnsi="Times New Roman"/>
                <w:i/>
                <w:sz w:val="14"/>
                <w:szCs w:val="14"/>
                <w:lang w:val="ru-RU" w:bidi="ml-IN"/>
              </w:rPr>
            </w:pPr>
            <w:r w:rsidRPr="00FF0A5F">
              <w:rPr>
                <w:rFonts w:ascii="Times New Roman" w:hAnsi="Times New Roman"/>
                <w:i/>
                <w:sz w:val="14"/>
                <w:szCs w:val="14"/>
                <w:lang w:val="ru-RU" w:bidi="ml-IN"/>
              </w:rPr>
              <w:t>Источник: расчеты Минфина России</w:t>
            </w:r>
          </w:p>
        </w:tc>
        <w:tc>
          <w:tcPr>
            <w:tcW w:w="220" w:type="dxa"/>
            <w:shd w:val="clear" w:color="auto" w:fill="auto"/>
          </w:tcPr>
          <w:p w:rsidR="001436D6" w:rsidRPr="006F0FD8" w:rsidRDefault="001436D6" w:rsidP="00025225">
            <w:pPr>
              <w:suppressAutoHyphens/>
              <w:spacing w:after="240" w:line="160" w:lineRule="atLeast"/>
              <w:rPr>
                <w:rFonts w:ascii="Times New Roman" w:hAnsi="Times New Roman"/>
                <w:sz w:val="14"/>
                <w:szCs w:val="14"/>
                <w:lang w:val="ru-RU" w:bidi="ml-IN"/>
              </w:rPr>
            </w:pPr>
          </w:p>
        </w:tc>
        <w:tc>
          <w:tcPr>
            <w:tcW w:w="4883" w:type="dxa"/>
            <w:gridSpan w:val="2"/>
            <w:tcBorders>
              <w:top w:val="single" w:sz="4" w:space="0" w:color="auto"/>
            </w:tcBorders>
            <w:shd w:val="clear" w:color="auto" w:fill="auto"/>
          </w:tcPr>
          <w:p w:rsidR="001436D6" w:rsidRPr="00FF0A5F" w:rsidRDefault="00FF0A5F" w:rsidP="00FF0A5F">
            <w:pPr>
              <w:suppressAutoHyphens/>
              <w:spacing w:after="240" w:line="160" w:lineRule="atLeast"/>
              <w:rPr>
                <w:rFonts w:ascii="Times New Roman" w:hAnsi="Times New Roman"/>
                <w:i/>
                <w:sz w:val="14"/>
                <w:szCs w:val="14"/>
                <w:lang w:val="ru-RU" w:bidi="ml-IN"/>
              </w:rPr>
            </w:pPr>
            <w:r w:rsidRPr="00FF0A5F">
              <w:rPr>
                <w:rFonts w:ascii="Times New Roman" w:hAnsi="Times New Roman"/>
                <w:i/>
                <w:sz w:val="14"/>
                <w:szCs w:val="14"/>
                <w:lang w:val="ru-RU" w:bidi="ml-IN"/>
              </w:rPr>
              <w:t xml:space="preserve">Источник: </w:t>
            </w:r>
            <w:r>
              <w:rPr>
                <w:rFonts w:ascii="Times New Roman" w:hAnsi="Times New Roman"/>
                <w:i/>
                <w:sz w:val="14"/>
                <w:szCs w:val="14"/>
                <w:lang w:val="ru-RU" w:bidi="ml-IN"/>
              </w:rPr>
              <w:t>Блумберг, Банк России</w:t>
            </w:r>
          </w:p>
        </w:tc>
      </w:tr>
    </w:tbl>
    <w:p w:rsidR="00725BA8" w:rsidRDefault="008036C2" w:rsidP="006A22F2">
      <w:pPr>
        <w:pStyle w:val="aa"/>
        <w:numPr>
          <w:ilvl w:val="0"/>
          <w:numId w:val="9"/>
        </w:numPr>
        <w:spacing w:before="120" w:after="120"/>
        <w:contextualSpacing w:val="0"/>
        <w:jc w:val="both"/>
        <w:rPr>
          <w:rFonts w:ascii="Times New Roman" w:hAnsi="Times New Roman"/>
          <w:sz w:val="24"/>
          <w:szCs w:val="24"/>
        </w:rPr>
      </w:pPr>
      <w:r w:rsidRPr="00725BA8">
        <w:rPr>
          <w:rFonts w:ascii="Times New Roman" w:hAnsi="Times New Roman"/>
          <w:b/>
          <w:sz w:val="24"/>
          <w:szCs w:val="24"/>
        </w:rPr>
        <w:t xml:space="preserve">Снижение </w:t>
      </w:r>
      <w:r w:rsidR="00725BA8" w:rsidRPr="00725BA8">
        <w:rPr>
          <w:rFonts w:ascii="Times New Roman" w:hAnsi="Times New Roman"/>
          <w:b/>
          <w:sz w:val="24"/>
          <w:szCs w:val="24"/>
        </w:rPr>
        <w:t>зависимости ненефтегазового сектора от цен на нефть</w:t>
      </w:r>
      <w:r w:rsidR="00725BA8">
        <w:rPr>
          <w:rFonts w:ascii="Times New Roman" w:hAnsi="Times New Roman"/>
          <w:sz w:val="24"/>
          <w:szCs w:val="24"/>
        </w:rPr>
        <w:t xml:space="preserve">. </w:t>
      </w:r>
      <w:r w:rsidR="00725BA8" w:rsidRPr="008036C2">
        <w:rPr>
          <w:rFonts w:ascii="Times New Roman" w:hAnsi="Times New Roman"/>
          <w:sz w:val="24"/>
          <w:szCs w:val="24"/>
        </w:rPr>
        <w:t>В прошлом российская экономика сталкивалась с агрессивным проявлением «голландской болезни»: укрепление</w:t>
      </w:r>
      <w:r w:rsidR="00725BA8">
        <w:rPr>
          <w:rFonts w:ascii="Times New Roman" w:hAnsi="Times New Roman"/>
          <w:sz w:val="24"/>
          <w:szCs w:val="24"/>
        </w:rPr>
        <w:t>/ослабление</w:t>
      </w:r>
      <w:r w:rsidR="00725BA8" w:rsidRPr="008036C2">
        <w:rPr>
          <w:rFonts w:ascii="Times New Roman" w:hAnsi="Times New Roman"/>
          <w:sz w:val="24"/>
          <w:szCs w:val="24"/>
        </w:rPr>
        <w:t xml:space="preserve"> рубля в периоды роста</w:t>
      </w:r>
      <w:r w:rsidR="00725BA8">
        <w:rPr>
          <w:rFonts w:ascii="Times New Roman" w:hAnsi="Times New Roman"/>
          <w:sz w:val="24"/>
          <w:szCs w:val="24"/>
        </w:rPr>
        <w:t>/падения</w:t>
      </w:r>
      <w:r w:rsidR="00725BA8" w:rsidRPr="008036C2">
        <w:rPr>
          <w:rFonts w:ascii="Times New Roman" w:hAnsi="Times New Roman"/>
          <w:sz w:val="24"/>
          <w:szCs w:val="24"/>
        </w:rPr>
        <w:t xml:space="preserve"> цен на нефть приводило к снижению</w:t>
      </w:r>
      <w:r w:rsidR="00725BA8">
        <w:rPr>
          <w:rFonts w:ascii="Times New Roman" w:hAnsi="Times New Roman"/>
          <w:sz w:val="24"/>
          <w:szCs w:val="24"/>
        </w:rPr>
        <w:t>/повышению</w:t>
      </w:r>
      <w:r w:rsidR="00725BA8" w:rsidRPr="008036C2">
        <w:rPr>
          <w:rFonts w:ascii="Times New Roman" w:hAnsi="Times New Roman"/>
          <w:sz w:val="24"/>
          <w:szCs w:val="24"/>
        </w:rPr>
        <w:t xml:space="preserve"> конкурентоспособности российских сельхозпроизводителей и промышленных предприятий как на внутреннем, так и на внешнем рынке и сопровождалось непропорциональным расширением</w:t>
      </w:r>
      <w:r w:rsidR="00725BA8">
        <w:rPr>
          <w:rFonts w:ascii="Times New Roman" w:hAnsi="Times New Roman"/>
          <w:sz w:val="24"/>
          <w:szCs w:val="24"/>
        </w:rPr>
        <w:t>/падением</w:t>
      </w:r>
      <w:r w:rsidR="00725BA8" w:rsidRPr="008036C2">
        <w:rPr>
          <w:rFonts w:ascii="Times New Roman" w:hAnsi="Times New Roman"/>
          <w:sz w:val="24"/>
          <w:szCs w:val="24"/>
        </w:rPr>
        <w:t xml:space="preserve"> сектора услуг</w:t>
      </w:r>
      <w:r w:rsidR="00725BA8">
        <w:rPr>
          <w:rFonts w:ascii="Times New Roman" w:hAnsi="Times New Roman"/>
          <w:sz w:val="24"/>
          <w:szCs w:val="24"/>
        </w:rPr>
        <w:t xml:space="preserve">. </w:t>
      </w:r>
      <w:r w:rsidR="003427BA">
        <w:rPr>
          <w:rFonts w:ascii="Times New Roman" w:hAnsi="Times New Roman"/>
          <w:sz w:val="24"/>
          <w:szCs w:val="24"/>
        </w:rPr>
        <w:t xml:space="preserve">Таким образом, финансовые результаты и благополучие практически любой индустрии, не связанной с нефтегазовым сектором, попадало в прямую </w:t>
      </w:r>
      <w:r w:rsidR="003427BA">
        <w:rPr>
          <w:rFonts w:ascii="Times New Roman" w:hAnsi="Times New Roman"/>
          <w:sz w:val="24"/>
          <w:szCs w:val="24"/>
        </w:rPr>
        <w:lastRenderedPageBreak/>
        <w:t xml:space="preserve">зависимость от динамики цен на нефть. В то же время </w:t>
      </w:r>
      <w:r w:rsidR="00725BA8">
        <w:rPr>
          <w:rFonts w:ascii="Times New Roman" w:hAnsi="Times New Roman"/>
          <w:sz w:val="24"/>
          <w:szCs w:val="24"/>
        </w:rPr>
        <w:t>для нефтегазового сектора ситуация была прямо</w:t>
      </w:r>
      <w:r w:rsidR="00B329D1">
        <w:rPr>
          <w:rFonts w:ascii="Times New Roman" w:hAnsi="Times New Roman"/>
          <w:sz w:val="24"/>
          <w:szCs w:val="24"/>
        </w:rPr>
        <w:t xml:space="preserve"> </w:t>
      </w:r>
      <w:r w:rsidR="00725BA8">
        <w:rPr>
          <w:rFonts w:ascii="Times New Roman" w:hAnsi="Times New Roman"/>
          <w:sz w:val="24"/>
          <w:szCs w:val="24"/>
        </w:rPr>
        <w:t xml:space="preserve">противоположной – высокая взаимозависимость нефтяных котировок и курсовых соотношений стабилизировала финансовые результаты нефтегазового сектора вне зависимости от </w:t>
      </w:r>
      <w:r w:rsidR="003427BA">
        <w:rPr>
          <w:rFonts w:ascii="Times New Roman" w:hAnsi="Times New Roman"/>
          <w:sz w:val="24"/>
          <w:szCs w:val="24"/>
        </w:rPr>
        <w:t>динамики и уровня цен на нефть.</w:t>
      </w:r>
    </w:p>
    <w:p w:rsidR="003427BA" w:rsidRDefault="00725BA8" w:rsidP="003427BA">
      <w:pPr>
        <w:pStyle w:val="aa"/>
        <w:spacing w:before="120" w:after="120"/>
        <w:ind w:left="360"/>
        <w:contextualSpacing w:val="0"/>
        <w:jc w:val="both"/>
        <w:rPr>
          <w:rFonts w:ascii="Times New Roman" w:hAnsi="Times New Roman"/>
          <w:sz w:val="24"/>
          <w:szCs w:val="24"/>
        </w:rPr>
      </w:pPr>
      <w:r>
        <w:rPr>
          <w:rFonts w:ascii="Times New Roman" w:hAnsi="Times New Roman"/>
          <w:sz w:val="24"/>
          <w:szCs w:val="24"/>
        </w:rPr>
        <w:t>С</w:t>
      </w:r>
      <w:r w:rsidRPr="008036C2">
        <w:rPr>
          <w:rFonts w:ascii="Times New Roman" w:hAnsi="Times New Roman"/>
          <w:sz w:val="24"/>
          <w:szCs w:val="24"/>
        </w:rPr>
        <w:t>нижение зависимости курса рубля от цен на нефть</w:t>
      </w:r>
      <w:r>
        <w:rPr>
          <w:rFonts w:ascii="Times New Roman" w:hAnsi="Times New Roman"/>
          <w:sz w:val="24"/>
          <w:szCs w:val="24"/>
        </w:rPr>
        <w:t xml:space="preserve"> при реализации «бюджетных правил» </w:t>
      </w:r>
      <w:r w:rsidR="003427BA">
        <w:rPr>
          <w:rFonts w:ascii="Times New Roman" w:hAnsi="Times New Roman"/>
          <w:sz w:val="24"/>
          <w:szCs w:val="24"/>
        </w:rPr>
        <w:t xml:space="preserve">фактически устраняет и первопричину «голландской болезни». </w:t>
      </w:r>
      <w:r w:rsidR="003427BA" w:rsidRPr="003427BA">
        <w:rPr>
          <w:rFonts w:ascii="Times New Roman" w:hAnsi="Times New Roman"/>
          <w:sz w:val="24"/>
          <w:szCs w:val="24"/>
        </w:rPr>
        <w:t xml:space="preserve">Таким образом, </w:t>
      </w:r>
      <w:r w:rsidR="003427BA">
        <w:rPr>
          <w:rFonts w:ascii="Times New Roman" w:hAnsi="Times New Roman"/>
          <w:sz w:val="24"/>
          <w:szCs w:val="24"/>
        </w:rPr>
        <w:t xml:space="preserve">такая </w:t>
      </w:r>
      <w:r w:rsidR="003427BA" w:rsidRPr="003427BA">
        <w:rPr>
          <w:rFonts w:ascii="Times New Roman" w:hAnsi="Times New Roman"/>
          <w:sz w:val="24"/>
          <w:szCs w:val="24"/>
        </w:rPr>
        <w:t>конструкция макроэкономической политики создает условия для развития конкурентоспособных ненефтегазовых производств, благодаря существенному снижению зависимости их финансовых результатов от цен на нефть и локализации влияния нефтяных шоков в нефтегазовом секторе. Аналогичная конструкция работает, например, в экономике Норвегии  – стране, представляющей собой один из наиболее успешных примеров страны-экспортера нефти с развитым сектором высокотехнологичных производств и высоким уровнем благосостояния населения</w:t>
      </w:r>
      <w:r w:rsidR="003427BA">
        <w:rPr>
          <w:rFonts w:ascii="Times New Roman" w:hAnsi="Times New Roman"/>
          <w:sz w:val="24"/>
          <w:szCs w:val="24"/>
        </w:rPr>
        <w:t>.</w:t>
      </w:r>
    </w:p>
    <w:p w:rsidR="003427BA" w:rsidRPr="008036C2" w:rsidRDefault="003427BA" w:rsidP="006A22F2">
      <w:pPr>
        <w:pStyle w:val="aa"/>
        <w:numPr>
          <w:ilvl w:val="0"/>
          <w:numId w:val="9"/>
        </w:numPr>
        <w:spacing w:before="120" w:after="120"/>
        <w:contextualSpacing w:val="0"/>
        <w:jc w:val="both"/>
        <w:rPr>
          <w:rFonts w:ascii="Times New Roman" w:hAnsi="Times New Roman"/>
          <w:sz w:val="24"/>
          <w:szCs w:val="24"/>
        </w:rPr>
      </w:pPr>
      <w:r w:rsidRPr="003427BA">
        <w:rPr>
          <w:rFonts w:ascii="Times New Roman" w:hAnsi="Times New Roman"/>
          <w:b/>
          <w:sz w:val="24"/>
          <w:szCs w:val="24"/>
        </w:rPr>
        <w:t>Снижение влияния</w:t>
      </w:r>
      <w:r w:rsidRPr="008036C2">
        <w:rPr>
          <w:rFonts w:ascii="Times New Roman" w:hAnsi="Times New Roman"/>
          <w:sz w:val="24"/>
          <w:szCs w:val="24"/>
        </w:rPr>
        <w:t xml:space="preserve"> </w:t>
      </w:r>
      <w:r w:rsidR="003641CB">
        <w:rPr>
          <w:rFonts w:ascii="Times New Roman" w:hAnsi="Times New Roman"/>
          <w:sz w:val="24"/>
          <w:szCs w:val="24"/>
        </w:rPr>
        <w:t>динамики</w:t>
      </w:r>
      <w:r w:rsidRPr="008036C2">
        <w:rPr>
          <w:rFonts w:ascii="Times New Roman" w:hAnsi="Times New Roman"/>
          <w:sz w:val="24"/>
          <w:szCs w:val="24"/>
        </w:rPr>
        <w:t xml:space="preserve"> нефтяных котировок </w:t>
      </w:r>
      <w:r w:rsidRPr="003427BA">
        <w:rPr>
          <w:rFonts w:ascii="Times New Roman" w:hAnsi="Times New Roman"/>
          <w:b/>
          <w:sz w:val="24"/>
          <w:szCs w:val="24"/>
        </w:rPr>
        <w:t>на сберегательное поведение населения</w:t>
      </w:r>
      <w:r>
        <w:rPr>
          <w:rFonts w:ascii="Times New Roman" w:hAnsi="Times New Roman"/>
          <w:sz w:val="24"/>
          <w:szCs w:val="24"/>
        </w:rPr>
        <w:t xml:space="preserve"> и</w:t>
      </w:r>
      <w:r w:rsidRPr="008036C2">
        <w:rPr>
          <w:rFonts w:ascii="Times New Roman" w:hAnsi="Times New Roman"/>
          <w:sz w:val="24"/>
          <w:szCs w:val="24"/>
        </w:rPr>
        <w:t xml:space="preserve"> создание </w:t>
      </w:r>
      <w:r w:rsidR="003641CB">
        <w:rPr>
          <w:rFonts w:ascii="Times New Roman" w:hAnsi="Times New Roman"/>
          <w:sz w:val="24"/>
          <w:szCs w:val="24"/>
        </w:rPr>
        <w:t>устойчивой</w:t>
      </w:r>
      <w:r w:rsidRPr="008036C2">
        <w:rPr>
          <w:rFonts w:ascii="Times New Roman" w:hAnsi="Times New Roman"/>
          <w:sz w:val="24"/>
          <w:szCs w:val="24"/>
        </w:rPr>
        <w:t xml:space="preserve"> пассивной базы банковского сектора</w:t>
      </w:r>
      <w:r>
        <w:rPr>
          <w:rFonts w:ascii="Times New Roman" w:hAnsi="Times New Roman"/>
          <w:sz w:val="24"/>
          <w:szCs w:val="24"/>
        </w:rPr>
        <w:t xml:space="preserve"> в национальной валюте</w:t>
      </w:r>
      <w:r w:rsidRPr="008036C2">
        <w:rPr>
          <w:rFonts w:ascii="Times New Roman" w:hAnsi="Times New Roman"/>
          <w:sz w:val="24"/>
          <w:szCs w:val="24"/>
        </w:rPr>
        <w:t>;</w:t>
      </w:r>
    </w:p>
    <w:p w:rsidR="00335AB1" w:rsidRPr="001436D6" w:rsidRDefault="001436D6" w:rsidP="006A22F2">
      <w:pPr>
        <w:pStyle w:val="aa"/>
        <w:numPr>
          <w:ilvl w:val="0"/>
          <w:numId w:val="9"/>
        </w:numPr>
        <w:spacing w:before="120" w:after="120"/>
        <w:contextualSpacing w:val="0"/>
        <w:jc w:val="both"/>
        <w:rPr>
          <w:rFonts w:ascii="Times New Roman" w:hAnsi="Times New Roman"/>
          <w:sz w:val="24"/>
          <w:szCs w:val="24"/>
        </w:rPr>
      </w:pPr>
      <w:r>
        <w:rPr>
          <w:rFonts w:ascii="Times New Roman" w:hAnsi="Times New Roman"/>
          <w:b/>
          <w:sz w:val="24"/>
          <w:szCs w:val="24"/>
        </w:rPr>
        <w:t>С</w:t>
      </w:r>
      <w:r w:rsidR="00335AB1" w:rsidRPr="001436D6">
        <w:rPr>
          <w:rFonts w:ascii="Times New Roman" w:hAnsi="Times New Roman"/>
          <w:b/>
          <w:sz w:val="24"/>
          <w:szCs w:val="24"/>
        </w:rPr>
        <w:t xml:space="preserve">нижение зависимости </w:t>
      </w:r>
      <w:r w:rsidR="00B329D1">
        <w:rPr>
          <w:rFonts w:ascii="Times New Roman" w:hAnsi="Times New Roman"/>
          <w:b/>
          <w:sz w:val="24"/>
          <w:szCs w:val="24"/>
        </w:rPr>
        <w:t>государственных</w:t>
      </w:r>
      <w:r w:rsidR="002B16CD">
        <w:rPr>
          <w:rFonts w:ascii="Times New Roman" w:hAnsi="Times New Roman"/>
          <w:b/>
          <w:sz w:val="24"/>
          <w:szCs w:val="24"/>
        </w:rPr>
        <w:t xml:space="preserve"> финансов</w:t>
      </w:r>
      <w:r w:rsidR="00335AB1" w:rsidRPr="001436D6">
        <w:rPr>
          <w:rFonts w:ascii="Times New Roman" w:hAnsi="Times New Roman"/>
          <w:b/>
          <w:sz w:val="24"/>
          <w:szCs w:val="24"/>
        </w:rPr>
        <w:t xml:space="preserve"> от динамики цен на нефть</w:t>
      </w:r>
      <w:r w:rsidR="00335AB1" w:rsidRPr="001436D6">
        <w:rPr>
          <w:rFonts w:ascii="Times New Roman" w:hAnsi="Times New Roman"/>
          <w:sz w:val="24"/>
          <w:szCs w:val="24"/>
        </w:rPr>
        <w:t xml:space="preserve">. </w:t>
      </w:r>
      <w:r w:rsidR="002B16CD">
        <w:rPr>
          <w:rFonts w:ascii="Times New Roman" w:hAnsi="Times New Roman"/>
          <w:sz w:val="24"/>
          <w:szCs w:val="24"/>
        </w:rPr>
        <w:t>Ц</w:t>
      </w:r>
      <w:r w:rsidR="002B16CD" w:rsidRPr="002B16CD">
        <w:rPr>
          <w:rFonts w:ascii="Times New Roman" w:hAnsi="Times New Roman"/>
          <w:sz w:val="24"/>
          <w:szCs w:val="24"/>
        </w:rPr>
        <w:t xml:space="preserve">ена на нефть, балансирующая федеральный бюджет на первичном уровне (т.е. до исполнения обязательств по обслуживанию государственного долга) </w:t>
      </w:r>
      <w:r w:rsidR="002B16CD">
        <w:rPr>
          <w:rFonts w:ascii="Times New Roman" w:hAnsi="Times New Roman"/>
          <w:sz w:val="24"/>
          <w:szCs w:val="24"/>
        </w:rPr>
        <w:t xml:space="preserve">в 2018 году </w:t>
      </w:r>
      <w:r w:rsidR="002B16CD" w:rsidRPr="002B16CD">
        <w:rPr>
          <w:rFonts w:ascii="Times New Roman" w:hAnsi="Times New Roman"/>
          <w:sz w:val="24"/>
          <w:szCs w:val="24"/>
        </w:rPr>
        <w:t>состав</w:t>
      </w:r>
      <w:r w:rsidR="002B16CD">
        <w:rPr>
          <w:rFonts w:ascii="Times New Roman" w:hAnsi="Times New Roman"/>
          <w:sz w:val="24"/>
          <w:szCs w:val="24"/>
        </w:rPr>
        <w:t>и</w:t>
      </w:r>
      <w:r w:rsidR="002B16CD" w:rsidRPr="002B16CD">
        <w:rPr>
          <w:rFonts w:ascii="Times New Roman" w:hAnsi="Times New Roman"/>
          <w:sz w:val="24"/>
          <w:szCs w:val="24"/>
        </w:rPr>
        <w:t xml:space="preserve">т </w:t>
      </w:r>
      <w:r w:rsidR="002B16CD">
        <w:rPr>
          <w:rFonts w:ascii="Times New Roman" w:hAnsi="Times New Roman"/>
          <w:sz w:val="24"/>
          <w:szCs w:val="24"/>
        </w:rPr>
        <w:t>менее 5</w:t>
      </w:r>
      <w:r w:rsidR="002B16CD" w:rsidRPr="002B16CD">
        <w:rPr>
          <w:rFonts w:ascii="Times New Roman" w:hAnsi="Times New Roman"/>
          <w:sz w:val="24"/>
          <w:szCs w:val="24"/>
        </w:rPr>
        <w:t xml:space="preserve">0 $ за баррель, </w:t>
      </w:r>
      <w:r w:rsidR="002B16CD">
        <w:rPr>
          <w:rFonts w:ascii="Times New Roman" w:hAnsi="Times New Roman"/>
          <w:sz w:val="24"/>
          <w:szCs w:val="24"/>
        </w:rPr>
        <w:t>что является одним из самых низких уровней среди стран крупных экспортеров углеводородного сырья. Ненефтегазовый дефицит федерального бюджета по итогам 2018 года ожидается на уровне 6,7% ВВП по сравнению с уровнем около 10,0% несколько лет назад.</w:t>
      </w:r>
    </w:p>
    <w:tbl>
      <w:tblPr>
        <w:tblStyle w:val="Smalltable"/>
        <w:tblW w:w="10363" w:type="dxa"/>
        <w:tblInd w:w="-823" w:type="dxa"/>
        <w:tblLayout w:type="fixed"/>
        <w:tblLook w:val="04A0" w:firstRow="1" w:lastRow="0" w:firstColumn="1" w:lastColumn="0" w:noHBand="0" w:noVBand="1"/>
      </w:tblPr>
      <w:tblGrid>
        <w:gridCol w:w="5104"/>
        <w:gridCol w:w="220"/>
        <w:gridCol w:w="14"/>
        <w:gridCol w:w="4869"/>
        <w:gridCol w:w="156"/>
      </w:tblGrid>
      <w:tr w:rsidR="00FF0A5F" w:rsidRPr="00180B0E" w:rsidTr="00025225">
        <w:trPr>
          <w:gridAfter w:val="1"/>
          <w:wAfter w:w="156" w:type="dxa"/>
          <w:trHeight w:val="198"/>
        </w:trPr>
        <w:tc>
          <w:tcPr>
            <w:tcW w:w="5104" w:type="dxa"/>
            <w:shd w:val="clear" w:color="auto" w:fill="auto"/>
          </w:tcPr>
          <w:p w:rsidR="00FF0A5F" w:rsidRPr="008823F8" w:rsidRDefault="000E0F15" w:rsidP="000E0F15">
            <w:pPr>
              <w:suppressAutoHyphens/>
              <w:spacing w:before="120" w:after="40"/>
              <w:rPr>
                <w:rFonts w:ascii="Times New Roman" w:hAnsi="Times New Roman"/>
                <w:b/>
                <w:sz w:val="24"/>
                <w:szCs w:val="24"/>
                <w:lang w:val="ru-RU" w:bidi="ml-IN"/>
              </w:rPr>
            </w:pPr>
            <w:r>
              <w:rPr>
                <w:rFonts w:ascii="Times New Roman" w:hAnsi="Times New Roman"/>
                <w:b/>
                <w:sz w:val="24"/>
                <w:szCs w:val="24"/>
                <w:lang w:val="ru-RU" w:bidi="ml-IN"/>
              </w:rPr>
              <w:t>Н</w:t>
            </w:r>
            <w:r w:rsidRPr="000E0F15">
              <w:rPr>
                <w:rFonts w:ascii="Times New Roman" w:hAnsi="Times New Roman"/>
                <w:b/>
                <w:sz w:val="24"/>
                <w:szCs w:val="24"/>
                <w:lang w:val="ru-RU" w:bidi="ml-IN"/>
              </w:rPr>
              <w:t>ефтегазовые доходы</w:t>
            </w:r>
            <w:r>
              <w:rPr>
                <w:rFonts w:ascii="Times New Roman" w:hAnsi="Times New Roman"/>
                <w:b/>
                <w:sz w:val="24"/>
                <w:szCs w:val="24"/>
                <w:lang w:val="ru-RU" w:bidi="ml-IN"/>
              </w:rPr>
              <w:t>: базовая и конъюнктурная составляющите</w:t>
            </w:r>
          </w:p>
        </w:tc>
        <w:tc>
          <w:tcPr>
            <w:tcW w:w="220" w:type="dxa"/>
            <w:shd w:val="clear" w:color="auto" w:fill="auto"/>
          </w:tcPr>
          <w:p w:rsidR="00FF0A5F" w:rsidRPr="008823F8" w:rsidRDefault="00FF0A5F" w:rsidP="00025225">
            <w:pPr>
              <w:suppressAutoHyphens/>
              <w:spacing w:before="120" w:after="40"/>
              <w:rPr>
                <w:rFonts w:ascii="Times New Roman" w:hAnsi="Times New Roman"/>
                <w:sz w:val="24"/>
                <w:szCs w:val="24"/>
                <w:lang w:val="ru-RU" w:bidi="ml-IN"/>
              </w:rPr>
            </w:pPr>
          </w:p>
        </w:tc>
        <w:tc>
          <w:tcPr>
            <w:tcW w:w="4883" w:type="dxa"/>
            <w:gridSpan w:val="2"/>
            <w:shd w:val="clear" w:color="auto" w:fill="auto"/>
          </w:tcPr>
          <w:p w:rsidR="00FF0A5F" w:rsidRPr="00180B0E" w:rsidRDefault="000E0F15" w:rsidP="00025225">
            <w:pPr>
              <w:suppressAutoHyphens/>
              <w:spacing w:before="120" w:after="40"/>
              <w:rPr>
                <w:rFonts w:ascii="Times New Roman" w:hAnsi="Times New Roman"/>
                <w:b/>
                <w:sz w:val="24"/>
                <w:szCs w:val="24"/>
                <w:lang w:val="ru-RU" w:bidi="ml-IN"/>
              </w:rPr>
            </w:pPr>
            <w:r w:rsidRPr="000E0F15">
              <w:rPr>
                <w:rFonts w:ascii="Times New Roman" w:hAnsi="Times New Roman"/>
                <w:b/>
                <w:sz w:val="24"/>
                <w:szCs w:val="24"/>
                <w:lang w:val="ru-RU" w:bidi="ml-IN"/>
              </w:rPr>
              <w:t>Ра</w:t>
            </w:r>
            <w:r>
              <w:rPr>
                <w:rFonts w:ascii="Times New Roman" w:hAnsi="Times New Roman"/>
                <w:b/>
                <w:sz w:val="24"/>
                <w:szCs w:val="24"/>
                <w:lang w:val="ru-RU" w:bidi="ml-IN"/>
              </w:rPr>
              <w:t>вновесная цена нефти для бюджетов стран крупных экспортеров нефти</w:t>
            </w:r>
          </w:p>
        </w:tc>
      </w:tr>
      <w:tr w:rsidR="00FF0A5F" w:rsidRPr="00180B0E" w:rsidTr="00025225">
        <w:trPr>
          <w:gridAfter w:val="1"/>
          <w:wAfter w:w="156" w:type="dxa"/>
          <w:trHeight w:hRule="exact" w:val="28"/>
        </w:trPr>
        <w:tc>
          <w:tcPr>
            <w:tcW w:w="5104" w:type="dxa"/>
            <w:tcBorders>
              <w:bottom w:val="single" w:sz="4" w:space="0" w:color="auto"/>
            </w:tcBorders>
            <w:shd w:val="clear" w:color="auto" w:fill="auto"/>
          </w:tcPr>
          <w:p w:rsidR="00FF0A5F" w:rsidRPr="006F0FD8" w:rsidRDefault="00FF0A5F" w:rsidP="00025225">
            <w:pPr>
              <w:rPr>
                <w:rFonts w:ascii="Times New Roman" w:hAnsi="Times New Roman"/>
                <w:lang w:val="ru-RU" w:bidi="ml-IN"/>
              </w:rPr>
            </w:pPr>
          </w:p>
        </w:tc>
        <w:tc>
          <w:tcPr>
            <w:tcW w:w="220" w:type="dxa"/>
            <w:shd w:val="clear" w:color="auto" w:fill="auto"/>
          </w:tcPr>
          <w:p w:rsidR="00FF0A5F" w:rsidRPr="006F0FD8" w:rsidRDefault="00FF0A5F" w:rsidP="00025225">
            <w:pPr>
              <w:rPr>
                <w:rFonts w:ascii="Times New Roman" w:hAnsi="Times New Roman"/>
                <w:lang w:val="ru-RU" w:bidi="ml-IN"/>
              </w:rPr>
            </w:pPr>
          </w:p>
        </w:tc>
        <w:tc>
          <w:tcPr>
            <w:tcW w:w="4883" w:type="dxa"/>
            <w:gridSpan w:val="2"/>
            <w:tcBorders>
              <w:bottom w:val="single" w:sz="4" w:space="0" w:color="auto"/>
            </w:tcBorders>
            <w:shd w:val="clear" w:color="auto" w:fill="auto"/>
          </w:tcPr>
          <w:p w:rsidR="00FF0A5F" w:rsidRPr="00180B0E" w:rsidRDefault="00FF0A5F" w:rsidP="00025225">
            <w:pPr>
              <w:rPr>
                <w:rFonts w:ascii="Times New Roman" w:hAnsi="Times New Roman"/>
                <w:lang w:val="ru-RU" w:bidi="ml-IN"/>
              </w:rPr>
            </w:pPr>
          </w:p>
        </w:tc>
      </w:tr>
      <w:tr w:rsidR="00FF0A5F" w:rsidRPr="00180B0E" w:rsidTr="00025225">
        <w:tblPrEx>
          <w:tblCellMar>
            <w:left w:w="108" w:type="dxa"/>
            <w:right w:w="108" w:type="dxa"/>
          </w:tblCellMar>
        </w:tblPrEx>
        <w:trPr>
          <w:trHeight w:val="2200"/>
        </w:trPr>
        <w:tc>
          <w:tcPr>
            <w:tcW w:w="5104" w:type="dxa"/>
            <w:tcBorders>
              <w:top w:val="single" w:sz="4" w:space="0" w:color="auto"/>
              <w:bottom w:val="single" w:sz="4" w:space="0" w:color="auto"/>
            </w:tcBorders>
            <w:shd w:val="clear" w:color="auto" w:fill="auto"/>
            <w:tcMar>
              <w:left w:w="0" w:type="nil"/>
              <w:right w:w="0" w:type="nil"/>
            </w:tcMar>
            <w:vAlign w:val="center"/>
          </w:tcPr>
          <w:p w:rsidR="00FF0A5F" w:rsidRPr="002A1206" w:rsidRDefault="00FF0A5F" w:rsidP="00025225">
            <w:pPr>
              <w:jc w:val="left"/>
              <w:rPr>
                <w:rFonts w:ascii="Times New Roman" w:hAnsi="Times New Roman"/>
                <w:lang w:val="ru-RU" w:bidi="ml-IN"/>
              </w:rPr>
            </w:pPr>
            <w:r w:rsidRPr="00892F1D">
              <w:rPr>
                <w:rFonts w:ascii="Times New Roman" w:hAnsi="Times New Roman"/>
                <w:noProof/>
                <w:lang w:eastAsia="ru-RU"/>
              </w:rPr>
              <w:drawing>
                <wp:inline distT="0" distB="0" distL="0" distR="0" wp14:anchorId="76AB2C3B" wp14:editId="1FCCB79D">
                  <wp:extent cx="3152775" cy="2324100"/>
                  <wp:effectExtent l="0" t="0" r="0" b="0"/>
                  <wp:docPr id="292" name="Диаграмма 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234" w:type="dxa"/>
            <w:gridSpan w:val="2"/>
            <w:shd w:val="clear" w:color="auto" w:fill="auto"/>
            <w:tcMar>
              <w:left w:w="0" w:type="nil"/>
              <w:right w:w="0" w:type="nil"/>
            </w:tcMar>
          </w:tcPr>
          <w:p w:rsidR="00FF0A5F" w:rsidRPr="002A1206" w:rsidRDefault="00FF0A5F" w:rsidP="00025225">
            <w:pPr>
              <w:rPr>
                <w:rFonts w:ascii="Times New Roman" w:hAnsi="Times New Roman"/>
                <w:lang w:val="ru-RU" w:bidi="ml-IN"/>
              </w:rPr>
            </w:pPr>
          </w:p>
        </w:tc>
        <w:tc>
          <w:tcPr>
            <w:tcW w:w="5025" w:type="dxa"/>
            <w:gridSpan w:val="2"/>
            <w:tcBorders>
              <w:top w:val="single" w:sz="4" w:space="0" w:color="auto"/>
              <w:bottom w:val="single" w:sz="4" w:space="0" w:color="auto"/>
            </w:tcBorders>
            <w:shd w:val="clear" w:color="auto" w:fill="auto"/>
            <w:tcMar>
              <w:left w:w="0" w:type="nil"/>
              <w:right w:w="0" w:type="nil"/>
            </w:tcMar>
            <w:vAlign w:val="center"/>
          </w:tcPr>
          <w:p w:rsidR="00FF0A5F" w:rsidRPr="00180B0E" w:rsidRDefault="00FF0A5F" w:rsidP="00025225">
            <w:pPr>
              <w:jc w:val="left"/>
              <w:rPr>
                <w:rFonts w:ascii="Times New Roman" w:eastAsia="Calibri" w:hAnsi="Times New Roman"/>
                <w:lang w:val="ru-RU" w:bidi="ml-IN"/>
              </w:rPr>
            </w:pPr>
            <w:r>
              <w:rPr>
                <w:noProof/>
                <w:lang w:eastAsia="ru-RU"/>
              </w:rPr>
              <w:t xml:space="preserve"> </w:t>
            </w:r>
            <w:r w:rsidRPr="00892F1D">
              <w:rPr>
                <w:rFonts w:ascii="Times New Roman" w:hAnsi="Times New Roman"/>
                <w:noProof/>
                <w:lang w:eastAsia="ru-RU"/>
              </w:rPr>
              <w:drawing>
                <wp:inline distT="0" distB="0" distL="0" distR="0" wp14:anchorId="0BACD655" wp14:editId="00A73B9F">
                  <wp:extent cx="3000375" cy="2333625"/>
                  <wp:effectExtent l="0" t="0" r="0" b="0"/>
                  <wp:docPr id="293" name="Диаграмма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FF0A5F" w:rsidRPr="00FF0A5F" w:rsidTr="00025225">
        <w:trPr>
          <w:gridAfter w:val="1"/>
          <w:wAfter w:w="156" w:type="dxa"/>
          <w:trHeight w:val="198"/>
        </w:trPr>
        <w:tc>
          <w:tcPr>
            <w:tcW w:w="5104" w:type="dxa"/>
            <w:tcBorders>
              <w:top w:val="single" w:sz="4" w:space="0" w:color="auto"/>
            </w:tcBorders>
            <w:shd w:val="clear" w:color="auto" w:fill="auto"/>
          </w:tcPr>
          <w:p w:rsidR="00FF0A5F" w:rsidRPr="006F0FD8" w:rsidRDefault="00FF0A5F" w:rsidP="00025225">
            <w:pPr>
              <w:suppressAutoHyphens/>
              <w:spacing w:after="240" w:line="160" w:lineRule="atLeast"/>
              <w:rPr>
                <w:rFonts w:ascii="Times New Roman" w:hAnsi="Times New Roman"/>
                <w:i/>
                <w:sz w:val="14"/>
                <w:szCs w:val="14"/>
                <w:lang w:val="ru-RU" w:bidi="ml-IN"/>
              </w:rPr>
            </w:pPr>
            <w:r w:rsidRPr="00FF0A5F">
              <w:rPr>
                <w:rFonts w:ascii="Times New Roman" w:hAnsi="Times New Roman"/>
                <w:i/>
                <w:sz w:val="14"/>
                <w:szCs w:val="14"/>
                <w:lang w:val="ru-RU" w:bidi="ml-IN"/>
              </w:rPr>
              <w:t>Источник: расчеты Минфина России</w:t>
            </w:r>
          </w:p>
        </w:tc>
        <w:tc>
          <w:tcPr>
            <w:tcW w:w="220" w:type="dxa"/>
            <w:shd w:val="clear" w:color="auto" w:fill="auto"/>
          </w:tcPr>
          <w:p w:rsidR="00FF0A5F" w:rsidRPr="006F0FD8" w:rsidRDefault="00FF0A5F" w:rsidP="00025225">
            <w:pPr>
              <w:suppressAutoHyphens/>
              <w:spacing w:after="240" w:line="160" w:lineRule="atLeast"/>
              <w:rPr>
                <w:rFonts w:ascii="Times New Roman" w:hAnsi="Times New Roman"/>
                <w:sz w:val="14"/>
                <w:szCs w:val="14"/>
                <w:lang w:val="ru-RU" w:bidi="ml-IN"/>
              </w:rPr>
            </w:pPr>
          </w:p>
        </w:tc>
        <w:tc>
          <w:tcPr>
            <w:tcW w:w="4883" w:type="dxa"/>
            <w:gridSpan w:val="2"/>
            <w:tcBorders>
              <w:top w:val="single" w:sz="4" w:space="0" w:color="auto"/>
            </w:tcBorders>
            <w:shd w:val="clear" w:color="auto" w:fill="auto"/>
          </w:tcPr>
          <w:p w:rsidR="00FF0A5F" w:rsidRPr="00FF0A5F" w:rsidRDefault="00CA5D2E" w:rsidP="00025225">
            <w:pPr>
              <w:suppressAutoHyphens/>
              <w:spacing w:after="240" w:line="160" w:lineRule="atLeast"/>
              <w:rPr>
                <w:rFonts w:ascii="Times New Roman" w:hAnsi="Times New Roman"/>
                <w:i/>
                <w:sz w:val="14"/>
                <w:szCs w:val="14"/>
                <w:lang w:val="ru-RU" w:bidi="ml-IN"/>
              </w:rPr>
            </w:pPr>
            <w:r w:rsidRPr="00CA5D2E">
              <w:rPr>
                <w:rFonts w:ascii="Times New Roman" w:hAnsi="Times New Roman"/>
                <w:i/>
                <w:sz w:val="14"/>
                <w:szCs w:val="14"/>
                <w:lang w:val="ru-RU" w:bidi="ml-IN"/>
              </w:rPr>
              <w:t>Источник: МВФ, расчеты Минфина России</w:t>
            </w:r>
          </w:p>
        </w:tc>
      </w:tr>
    </w:tbl>
    <w:p w:rsidR="002F5B61" w:rsidRDefault="002F5B61" w:rsidP="002F5B61">
      <w:pPr>
        <w:pStyle w:val="20"/>
        <w:numPr>
          <w:ilvl w:val="1"/>
          <w:numId w:val="3"/>
        </w:numPr>
        <w:spacing w:before="240" w:after="240"/>
        <w:rPr>
          <w:rFonts w:ascii="Times New Roman" w:hAnsi="Times New Roman"/>
          <w:sz w:val="28"/>
          <w:szCs w:val="28"/>
        </w:rPr>
      </w:pPr>
      <w:bookmarkStart w:id="10" w:name="_Toc518648645"/>
      <w:r>
        <w:rPr>
          <w:rFonts w:ascii="Times New Roman" w:hAnsi="Times New Roman"/>
          <w:sz w:val="28"/>
          <w:szCs w:val="28"/>
        </w:rPr>
        <w:lastRenderedPageBreak/>
        <w:t>СТРУКТУРНАЯ ТРАНСФОРМАЦИЯ ЭКОНОМИКИ</w:t>
      </w:r>
      <w:bookmarkEnd w:id="10"/>
    </w:p>
    <w:p w:rsidR="00AD4556" w:rsidRDefault="00AD4556" w:rsidP="00AD4556">
      <w:pPr>
        <w:spacing w:before="120" w:after="120"/>
        <w:jc w:val="both"/>
        <w:rPr>
          <w:rFonts w:ascii="Times New Roman" w:hAnsi="Times New Roman"/>
          <w:sz w:val="24"/>
          <w:szCs w:val="24"/>
        </w:rPr>
      </w:pPr>
      <w:r>
        <w:rPr>
          <w:rFonts w:ascii="Times New Roman" w:hAnsi="Times New Roman"/>
          <w:sz w:val="24"/>
          <w:szCs w:val="24"/>
        </w:rPr>
        <w:t xml:space="preserve">Бюджетная политика в 2017-2018 годах была построена </w:t>
      </w:r>
      <w:r w:rsidRPr="00AD4556">
        <w:rPr>
          <w:rFonts w:ascii="Times New Roman" w:hAnsi="Times New Roman"/>
          <w:sz w:val="24"/>
          <w:szCs w:val="24"/>
        </w:rPr>
        <w:t xml:space="preserve">на основополагающем принципе, что все расходные обязательства должны финансироваться (1) не в ущерб макроэкономической стабильности и предсказуемости </w:t>
      </w:r>
      <w:r>
        <w:rPr>
          <w:rFonts w:ascii="Times New Roman" w:hAnsi="Times New Roman"/>
          <w:sz w:val="24"/>
          <w:szCs w:val="24"/>
        </w:rPr>
        <w:t>(то есть не за счет конъюнктурных доходов – «</w:t>
      </w:r>
      <w:r w:rsidR="00B329D1">
        <w:rPr>
          <w:rFonts w:ascii="Times New Roman" w:hAnsi="Times New Roman"/>
          <w:sz w:val="24"/>
          <w:szCs w:val="24"/>
        </w:rPr>
        <w:t>бюджетные</w:t>
      </w:r>
      <w:r>
        <w:rPr>
          <w:rFonts w:ascii="Times New Roman" w:hAnsi="Times New Roman"/>
          <w:sz w:val="24"/>
          <w:szCs w:val="24"/>
        </w:rPr>
        <w:t xml:space="preserve"> правила») </w:t>
      </w:r>
      <w:r w:rsidRPr="00AD4556">
        <w:rPr>
          <w:rFonts w:ascii="Times New Roman" w:hAnsi="Times New Roman"/>
          <w:sz w:val="24"/>
          <w:szCs w:val="24"/>
        </w:rPr>
        <w:t>и (2) в рамках текущей – не низкой для добросовестных налогоплательщиков – налоговой нагрузки</w:t>
      </w:r>
      <w:r>
        <w:rPr>
          <w:rFonts w:ascii="Times New Roman" w:hAnsi="Times New Roman"/>
          <w:sz w:val="24"/>
          <w:szCs w:val="24"/>
        </w:rPr>
        <w:t xml:space="preserve"> (принцип «фискальной нейтральности»).</w:t>
      </w:r>
    </w:p>
    <w:p w:rsidR="00AD4556" w:rsidRDefault="00AD4556" w:rsidP="00AD4556">
      <w:pPr>
        <w:spacing w:before="120" w:after="120"/>
        <w:jc w:val="both"/>
        <w:rPr>
          <w:rFonts w:ascii="Times New Roman" w:hAnsi="Times New Roman"/>
          <w:sz w:val="24"/>
          <w:szCs w:val="24"/>
        </w:rPr>
      </w:pPr>
      <w:r w:rsidRPr="00AD4556">
        <w:rPr>
          <w:rFonts w:ascii="Times New Roman" w:hAnsi="Times New Roman"/>
          <w:sz w:val="24"/>
          <w:szCs w:val="24"/>
        </w:rPr>
        <w:t>Такой подход созда</w:t>
      </w:r>
      <w:r w:rsidR="00D02C11">
        <w:rPr>
          <w:rFonts w:ascii="Times New Roman" w:hAnsi="Times New Roman"/>
          <w:sz w:val="24"/>
          <w:szCs w:val="24"/>
        </w:rPr>
        <w:t>вал</w:t>
      </w:r>
      <w:r w:rsidRPr="00AD4556">
        <w:rPr>
          <w:rFonts w:ascii="Times New Roman" w:hAnsi="Times New Roman"/>
          <w:sz w:val="24"/>
          <w:szCs w:val="24"/>
        </w:rPr>
        <w:t xml:space="preserve"> стимул для выработки мер с ненулевой суммой – таких как повышение собираемости налогов </w:t>
      </w:r>
      <w:r w:rsidR="00D02C11">
        <w:rPr>
          <w:rFonts w:ascii="Times New Roman" w:hAnsi="Times New Roman"/>
          <w:sz w:val="24"/>
          <w:szCs w:val="24"/>
        </w:rPr>
        <w:t xml:space="preserve">за счет сокращения теневого </w:t>
      </w:r>
      <w:r w:rsidR="00B329D1">
        <w:rPr>
          <w:rFonts w:ascii="Times New Roman" w:hAnsi="Times New Roman"/>
          <w:sz w:val="24"/>
          <w:szCs w:val="24"/>
        </w:rPr>
        <w:t>с</w:t>
      </w:r>
      <w:r w:rsidR="00D02C11">
        <w:rPr>
          <w:rFonts w:ascii="Times New Roman" w:hAnsi="Times New Roman"/>
          <w:sz w:val="24"/>
          <w:szCs w:val="24"/>
        </w:rPr>
        <w:t xml:space="preserve">ектора, повышение </w:t>
      </w:r>
      <w:r w:rsidRPr="00AD4556">
        <w:rPr>
          <w:rFonts w:ascii="Times New Roman" w:hAnsi="Times New Roman"/>
          <w:sz w:val="24"/>
          <w:szCs w:val="24"/>
        </w:rPr>
        <w:t xml:space="preserve">отдачи от государственных активов, сокращение неэффективных расходов (как прямых, так и встроенных в структуру налоговой системы). Такие меры не только обеспечивают положительный эффект с фискальной точки зрения, но и </w:t>
      </w:r>
      <w:r w:rsidRPr="00D02C11">
        <w:rPr>
          <w:rFonts w:ascii="Times New Roman" w:hAnsi="Times New Roman"/>
          <w:b/>
          <w:i/>
          <w:sz w:val="24"/>
          <w:szCs w:val="24"/>
        </w:rPr>
        <w:t>способствуют созданию положительных структурных изменений</w:t>
      </w:r>
      <w:r w:rsidRPr="00AD4556">
        <w:rPr>
          <w:rFonts w:ascii="Times New Roman" w:hAnsi="Times New Roman"/>
          <w:sz w:val="24"/>
          <w:szCs w:val="24"/>
        </w:rPr>
        <w:t xml:space="preserve"> – то есть структурной трансформации экономики</w:t>
      </w:r>
    </w:p>
    <w:p w:rsidR="00AD4556" w:rsidRDefault="001B145F" w:rsidP="00AD4556">
      <w:pPr>
        <w:spacing w:before="120" w:after="120"/>
        <w:jc w:val="both"/>
        <w:rPr>
          <w:rFonts w:ascii="Times New Roman" w:hAnsi="Times New Roman"/>
          <w:sz w:val="24"/>
          <w:szCs w:val="24"/>
        </w:rPr>
      </w:pPr>
      <w:r>
        <w:rPr>
          <w:rFonts w:ascii="Times New Roman" w:hAnsi="Times New Roman"/>
          <w:b/>
          <w:sz w:val="28"/>
          <w:szCs w:val="24"/>
        </w:rPr>
        <w:t>Справедливая конкурентная среда и с</w:t>
      </w:r>
      <w:r w:rsidR="00D02C11" w:rsidRPr="00D02C11">
        <w:rPr>
          <w:rFonts w:ascii="Times New Roman" w:hAnsi="Times New Roman"/>
          <w:b/>
          <w:sz w:val="28"/>
          <w:szCs w:val="24"/>
        </w:rPr>
        <w:t>окращение теневого сектора</w:t>
      </w:r>
    </w:p>
    <w:p w:rsidR="00D02C11" w:rsidRPr="00D02C11" w:rsidRDefault="00D02C11" w:rsidP="00D02C11">
      <w:pPr>
        <w:spacing w:before="120" w:after="120"/>
        <w:jc w:val="both"/>
        <w:rPr>
          <w:rFonts w:ascii="Times New Roman" w:hAnsi="Times New Roman"/>
          <w:sz w:val="24"/>
          <w:szCs w:val="24"/>
        </w:rPr>
      </w:pPr>
      <w:r w:rsidRPr="00D02C11">
        <w:rPr>
          <w:rFonts w:ascii="Times New Roman" w:hAnsi="Times New Roman"/>
          <w:sz w:val="24"/>
          <w:szCs w:val="24"/>
        </w:rPr>
        <w:t xml:space="preserve">На создание справедливых конкурентных условий и улучшение условий ведения бизнеса </w:t>
      </w:r>
      <w:r>
        <w:rPr>
          <w:rFonts w:ascii="Times New Roman" w:hAnsi="Times New Roman"/>
          <w:sz w:val="24"/>
          <w:szCs w:val="24"/>
        </w:rPr>
        <w:t xml:space="preserve">была </w:t>
      </w:r>
      <w:r w:rsidRPr="00D02C11">
        <w:rPr>
          <w:rFonts w:ascii="Times New Roman" w:hAnsi="Times New Roman"/>
          <w:sz w:val="24"/>
          <w:szCs w:val="24"/>
        </w:rPr>
        <w:t>направлена работа по улучшению администрирования доходов. Внедрение новых технологий и постепенное формирование единого информационного пространст</w:t>
      </w:r>
      <w:r w:rsidR="00B70AB9">
        <w:rPr>
          <w:rFonts w:ascii="Times New Roman" w:hAnsi="Times New Roman"/>
          <w:sz w:val="24"/>
          <w:szCs w:val="24"/>
        </w:rPr>
        <w:t>ва администрирования позволили</w:t>
      </w:r>
      <w:r w:rsidRPr="00D02C11">
        <w:rPr>
          <w:rFonts w:ascii="Times New Roman" w:hAnsi="Times New Roman"/>
          <w:sz w:val="24"/>
          <w:szCs w:val="24"/>
        </w:rPr>
        <w:t xml:space="preserve"> без увеличения налоговой нагрузки значительно повысить собираемость доходов бюджетов.</w:t>
      </w:r>
    </w:p>
    <w:p w:rsidR="00E31361" w:rsidRDefault="00B70AB9" w:rsidP="00D02C11">
      <w:pPr>
        <w:spacing w:before="120" w:after="120"/>
        <w:jc w:val="both"/>
        <w:rPr>
          <w:rFonts w:ascii="Times New Roman" w:hAnsi="Times New Roman"/>
          <w:sz w:val="24"/>
          <w:szCs w:val="24"/>
        </w:rPr>
      </w:pPr>
      <w:r>
        <w:rPr>
          <w:rFonts w:ascii="Times New Roman" w:hAnsi="Times New Roman"/>
          <w:sz w:val="24"/>
          <w:szCs w:val="24"/>
        </w:rPr>
        <w:t xml:space="preserve">При этом </w:t>
      </w:r>
      <w:r w:rsidR="00D02C11" w:rsidRPr="00D02C11">
        <w:rPr>
          <w:rFonts w:ascii="Times New Roman" w:hAnsi="Times New Roman"/>
          <w:sz w:val="24"/>
          <w:szCs w:val="24"/>
        </w:rPr>
        <w:t xml:space="preserve">повышение собираемости налогов не только способствует </w:t>
      </w:r>
      <w:r w:rsidR="00D02C11">
        <w:rPr>
          <w:rFonts w:ascii="Times New Roman" w:hAnsi="Times New Roman"/>
          <w:sz w:val="24"/>
          <w:szCs w:val="24"/>
        </w:rPr>
        <w:t>мобилизации</w:t>
      </w:r>
      <w:r w:rsidR="00D02C11" w:rsidRPr="00D02C11">
        <w:rPr>
          <w:rFonts w:ascii="Times New Roman" w:hAnsi="Times New Roman"/>
          <w:sz w:val="24"/>
          <w:szCs w:val="24"/>
        </w:rPr>
        <w:t xml:space="preserve"> доходов, но также позволяет устранить неравные конкурентные условия и способству</w:t>
      </w:r>
      <w:r w:rsidR="00D02C11">
        <w:rPr>
          <w:rFonts w:ascii="Times New Roman" w:hAnsi="Times New Roman"/>
          <w:sz w:val="24"/>
          <w:szCs w:val="24"/>
        </w:rPr>
        <w:t>е</w:t>
      </w:r>
      <w:r w:rsidR="00D02C11" w:rsidRPr="00D02C11">
        <w:rPr>
          <w:rFonts w:ascii="Times New Roman" w:hAnsi="Times New Roman"/>
          <w:sz w:val="24"/>
          <w:szCs w:val="24"/>
        </w:rPr>
        <w:t xml:space="preserve">т перераспределению трудовых и материальных ресурсов </w:t>
      </w:r>
      <w:r>
        <w:rPr>
          <w:rFonts w:ascii="Times New Roman" w:hAnsi="Times New Roman"/>
          <w:sz w:val="24"/>
          <w:szCs w:val="24"/>
        </w:rPr>
        <w:t xml:space="preserve">в пользу эффективных </w:t>
      </w:r>
      <w:r w:rsidR="00D02C11" w:rsidRPr="00D02C11">
        <w:rPr>
          <w:rFonts w:ascii="Times New Roman" w:hAnsi="Times New Roman"/>
          <w:sz w:val="24"/>
          <w:szCs w:val="24"/>
        </w:rPr>
        <w:t>собственников и менеджеров</w:t>
      </w:r>
      <w:r>
        <w:rPr>
          <w:rFonts w:ascii="Times New Roman" w:hAnsi="Times New Roman"/>
          <w:sz w:val="24"/>
          <w:szCs w:val="24"/>
        </w:rPr>
        <w:t xml:space="preserve"> от тех</w:t>
      </w:r>
      <w:r w:rsidR="00D02C11" w:rsidRPr="00D02C11">
        <w:rPr>
          <w:rFonts w:ascii="Times New Roman" w:hAnsi="Times New Roman"/>
          <w:sz w:val="24"/>
          <w:szCs w:val="24"/>
        </w:rPr>
        <w:t>,</w:t>
      </w:r>
      <w:r>
        <w:rPr>
          <w:rFonts w:ascii="Times New Roman" w:hAnsi="Times New Roman"/>
          <w:sz w:val="24"/>
          <w:szCs w:val="24"/>
        </w:rPr>
        <w:t xml:space="preserve"> кто</w:t>
      </w:r>
      <w:r w:rsidR="00D02C11" w:rsidRPr="00D02C11">
        <w:rPr>
          <w:rFonts w:ascii="Times New Roman" w:hAnsi="Times New Roman"/>
          <w:sz w:val="24"/>
          <w:szCs w:val="24"/>
        </w:rPr>
        <w:t xml:space="preserve"> получа</w:t>
      </w:r>
      <w:r>
        <w:rPr>
          <w:rFonts w:ascii="Times New Roman" w:hAnsi="Times New Roman"/>
          <w:sz w:val="24"/>
          <w:szCs w:val="24"/>
        </w:rPr>
        <w:t xml:space="preserve">л </w:t>
      </w:r>
      <w:r w:rsidR="00D02C11" w:rsidRPr="00D02C11">
        <w:rPr>
          <w:rFonts w:ascii="Times New Roman" w:hAnsi="Times New Roman"/>
          <w:sz w:val="24"/>
          <w:szCs w:val="24"/>
        </w:rPr>
        <w:t>конкурентные преимущества за счет недобросовестного поведения</w:t>
      </w:r>
      <w:r w:rsidR="00D02C11">
        <w:rPr>
          <w:rFonts w:ascii="Times New Roman" w:hAnsi="Times New Roman"/>
          <w:sz w:val="24"/>
          <w:szCs w:val="24"/>
        </w:rPr>
        <w:t>.</w:t>
      </w:r>
    </w:p>
    <w:p w:rsidR="00D02C11" w:rsidRDefault="00D02C11" w:rsidP="00D02C11">
      <w:pPr>
        <w:spacing w:before="120" w:after="120"/>
        <w:jc w:val="both"/>
        <w:rPr>
          <w:rFonts w:ascii="Times New Roman" w:hAnsi="Times New Roman"/>
          <w:sz w:val="24"/>
          <w:szCs w:val="24"/>
        </w:rPr>
      </w:pPr>
      <w:r>
        <w:rPr>
          <w:rFonts w:ascii="Times New Roman" w:hAnsi="Times New Roman"/>
          <w:sz w:val="24"/>
          <w:szCs w:val="24"/>
        </w:rPr>
        <w:t xml:space="preserve">Из </w:t>
      </w:r>
      <w:r w:rsidRPr="00602CFF">
        <w:rPr>
          <w:rFonts w:ascii="Times New Roman" w:hAnsi="Times New Roman"/>
          <w:sz w:val="24"/>
          <w:szCs w:val="24"/>
          <w:u w:val="single"/>
        </w:rPr>
        <w:t>ключевых итогов</w:t>
      </w:r>
      <w:r>
        <w:rPr>
          <w:rFonts w:ascii="Times New Roman" w:hAnsi="Times New Roman"/>
          <w:sz w:val="24"/>
          <w:szCs w:val="24"/>
        </w:rPr>
        <w:t xml:space="preserve"> по данному направлению можно отметить:</w:t>
      </w:r>
    </w:p>
    <w:p w:rsidR="00602CFF" w:rsidRPr="00602CFF" w:rsidRDefault="00602CFF" w:rsidP="006A22F2">
      <w:pPr>
        <w:pStyle w:val="aa"/>
        <w:numPr>
          <w:ilvl w:val="0"/>
          <w:numId w:val="9"/>
        </w:numPr>
        <w:spacing w:before="120" w:after="60"/>
        <w:ind w:left="357" w:hanging="357"/>
        <w:contextualSpacing w:val="0"/>
        <w:jc w:val="both"/>
        <w:rPr>
          <w:rFonts w:ascii="Times New Roman" w:hAnsi="Times New Roman"/>
          <w:sz w:val="24"/>
          <w:szCs w:val="24"/>
        </w:rPr>
      </w:pPr>
      <w:r w:rsidRPr="00602CFF">
        <w:rPr>
          <w:rFonts w:ascii="Times New Roman" w:hAnsi="Times New Roman"/>
          <w:sz w:val="24"/>
          <w:szCs w:val="24"/>
        </w:rPr>
        <w:t>Внедрение системы</w:t>
      </w:r>
      <w:r>
        <w:rPr>
          <w:rFonts w:ascii="Times New Roman" w:hAnsi="Times New Roman"/>
          <w:b/>
          <w:sz w:val="24"/>
          <w:szCs w:val="24"/>
        </w:rPr>
        <w:t xml:space="preserve"> о</w:t>
      </w:r>
      <w:r w:rsidR="008E7A23" w:rsidRPr="008E7A23">
        <w:rPr>
          <w:rFonts w:ascii="Times New Roman" w:hAnsi="Times New Roman"/>
          <w:b/>
          <w:sz w:val="24"/>
          <w:szCs w:val="24"/>
        </w:rPr>
        <w:t>нлайн-передач</w:t>
      </w:r>
      <w:r>
        <w:rPr>
          <w:rFonts w:ascii="Times New Roman" w:hAnsi="Times New Roman"/>
          <w:b/>
          <w:sz w:val="24"/>
          <w:szCs w:val="24"/>
        </w:rPr>
        <w:t>и</w:t>
      </w:r>
      <w:r w:rsidR="008E7A23" w:rsidRPr="008E7A23">
        <w:rPr>
          <w:rFonts w:ascii="Times New Roman" w:hAnsi="Times New Roman"/>
          <w:b/>
          <w:sz w:val="24"/>
          <w:szCs w:val="24"/>
        </w:rPr>
        <w:t xml:space="preserve"> данных о розничных продажах</w:t>
      </w:r>
      <w:r w:rsidR="008E7A23">
        <w:rPr>
          <w:rFonts w:ascii="Times New Roman" w:hAnsi="Times New Roman"/>
          <w:b/>
          <w:sz w:val="24"/>
          <w:szCs w:val="24"/>
        </w:rPr>
        <w:t xml:space="preserve"> </w:t>
      </w:r>
      <w:r w:rsidR="008E7A23" w:rsidRPr="00602CFF">
        <w:rPr>
          <w:rFonts w:ascii="Times New Roman" w:hAnsi="Times New Roman"/>
          <w:sz w:val="24"/>
          <w:szCs w:val="24"/>
        </w:rPr>
        <w:t xml:space="preserve">на основе </w:t>
      </w:r>
      <w:r>
        <w:rPr>
          <w:rFonts w:ascii="Times New Roman" w:hAnsi="Times New Roman"/>
          <w:sz w:val="24"/>
          <w:szCs w:val="24"/>
        </w:rPr>
        <w:t xml:space="preserve">применения специальной </w:t>
      </w:r>
      <w:r w:rsidR="008E7A23" w:rsidRPr="00602CFF">
        <w:rPr>
          <w:rFonts w:ascii="Times New Roman" w:hAnsi="Times New Roman"/>
          <w:sz w:val="24"/>
          <w:szCs w:val="24"/>
        </w:rPr>
        <w:t>контрольно-кассовой техники</w:t>
      </w:r>
      <w:r>
        <w:rPr>
          <w:rFonts w:ascii="Times New Roman" w:hAnsi="Times New Roman"/>
          <w:sz w:val="24"/>
          <w:szCs w:val="24"/>
        </w:rPr>
        <w:t>:</w:t>
      </w:r>
    </w:p>
    <w:p w:rsidR="008E7A23" w:rsidRDefault="008E7A23" w:rsidP="00602CFF">
      <w:pPr>
        <w:pStyle w:val="aa"/>
        <w:spacing w:after="60"/>
        <w:ind w:left="357"/>
        <w:contextualSpacing w:val="0"/>
        <w:jc w:val="both"/>
        <w:rPr>
          <w:rFonts w:ascii="Times New Roman" w:hAnsi="Times New Roman"/>
          <w:sz w:val="24"/>
          <w:szCs w:val="24"/>
        </w:rPr>
      </w:pPr>
      <w:r>
        <w:rPr>
          <w:rFonts w:ascii="Times New Roman" w:hAnsi="Times New Roman"/>
          <w:sz w:val="24"/>
          <w:szCs w:val="24"/>
        </w:rPr>
        <w:t xml:space="preserve">Основной этап успешно завершен: </w:t>
      </w:r>
      <w:r w:rsidRPr="008E7A23">
        <w:rPr>
          <w:rFonts w:ascii="Times New Roman" w:hAnsi="Times New Roman"/>
          <w:sz w:val="24"/>
          <w:szCs w:val="24"/>
        </w:rPr>
        <w:t>более 780 тыс</w:t>
      </w:r>
      <w:r>
        <w:rPr>
          <w:rFonts w:ascii="Times New Roman" w:hAnsi="Times New Roman"/>
          <w:sz w:val="24"/>
          <w:szCs w:val="24"/>
        </w:rPr>
        <w:t>.</w:t>
      </w:r>
      <w:r w:rsidRPr="008E7A23">
        <w:rPr>
          <w:rFonts w:ascii="Times New Roman" w:hAnsi="Times New Roman"/>
          <w:sz w:val="24"/>
          <w:szCs w:val="24"/>
        </w:rPr>
        <w:t xml:space="preserve"> налогоплательщиков подключили к системе более 2 млн. онлайн-касс </w:t>
      </w:r>
      <w:r>
        <w:rPr>
          <w:rFonts w:ascii="Times New Roman" w:hAnsi="Times New Roman"/>
          <w:sz w:val="24"/>
          <w:szCs w:val="24"/>
        </w:rPr>
        <w:t>(</w:t>
      </w:r>
      <w:r w:rsidRPr="008E7A23">
        <w:rPr>
          <w:rFonts w:ascii="Times New Roman" w:hAnsi="Times New Roman"/>
          <w:sz w:val="24"/>
          <w:szCs w:val="24"/>
        </w:rPr>
        <w:t>превышает дореформенный парк на 75%</w:t>
      </w:r>
      <w:r>
        <w:rPr>
          <w:rFonts w:ascii="Times New Roman" w:hAnsi="Times New Roman"/>
          <w:sz w:val="24"/>
          <w:szCs w:val="24"/>
        </w:rPr>
        <w:t xml:space="preserve">), а до </w:t>
      </w:r>
      <w:r w:rsidRPr="008E7A23">
        <w:rPr>
          <w:rFonts w:ascii="Times New Roman" w:hAnsi="Times New Roman"/>
          <w:sz w:val="24"/>
          <w:szCs w:val="24"/>
        </w:rPr>
        <w:t xml:space="preserve">1 июля 2019 года на онлайн-кассы перейдет </w:t>
      </w:r>
      <w:r>
        <w:rPr>
          <w:rFonts w:ascii="Times New Roman" w:hAnsi="Times New Roman"/>
          <w:sz w:val="24"/>
          <w:szCs w:val="24"/>
        </w:rPr>
        <w:t xml:space="preserve">вся </w:t>
      </w:r>
      <w:r w:rsidRPr="008E7A23">
        <w:rPr>
          <w:rFonts w:ascii="Times New Roman" w:hAnsi="Times New Roman"/>
          <w:sz w:val="24"/>
          <w:szCs w:val="24"/>
        </w:rPr>
        <w:t>сфера услуг</w:t>
      </w:r>
      <w:r>
        <w:rPr>
          <w:rFonts w:ascii="Times New Roman" w:hAnsi="Times New Roman"/>
          <w:sz w:val="24"/>
          <w:szCs w:val="24"/>
        </w:rPr>
        <w:t>.</w:t>
      </w:r>
    </w:p>
    <w:p w:rsidR="00BD1B82" w:rsidRDefault="00BD1B82" w:rsidP="00602CFF">
      <w:pPr>
        <w:pStyle w:val="aa"/>
        <w:spacing w:after="60"/>
        <w:ind w:left="357"/>
        <w:contextualSpacing w:val="0"/>
        <w:jc w:val="both"/>
        <w:rPr>
          <w:rFonts w:ascii="Times New Roman" w:hAnsi="Times New Roman"/>
          <w:sz w:val="24"/>
          <w:szCs w:val="24"/>
        </w:rPr>
      </w:pPr>
      <w:r>
        <w:rPr>
          <w:rFonts w:ascii="Times New Roman" w:hAnsi="Times New Roman"/>
          <w:sz w:val="24"/>
          <w:szCs w:val="24"/>
        </w:rPr>
        <w:t>Основные результаты:</w:t>
      </w:r>
    </w:p>
    <w:p w:rsidR="00602CFF" w:rsidRDefault="00BD1B82" w:rsidP="00BD1B82">
      <w:pPr>
        <w:pStyle w:val="aa"/>
        <w:spacing w:after="60"/>
        <w:ind w:left="709"/>
        <w:contextualSpacing w:val="0"/>
        <w:jc w:val="both"/>
        <w:rPr>
          <w:rFonts w:ascii="Times New Roman" w:hAnsi="Times New Roman"/>
          <w:sz w:val="24"/>
          <w:szCs w:val="24"/>
        </w:rPr>
      </w:pPr>
      <w:r>
        <w:rPr>
          <w:rFonts w:ascii="Times New Roman" w:hAnsi="Times New Roman"/>
          <w:sz w:val="24"/>
          <w:szCs w:val="24"/>
        </w:rPr>
        <w:t>П</w:t>
      </w:r>
      <w:r w:rsidR="00602CFF">
        <w:rPr>
          <w:rFonts w:ascii="Times New Roman" w:hAnsi="Times New Roman"/>
          <w:sz w:val="24"/>
          <w:szCs w:val="24"/>
        </w:rPr>
        <w:t xml:space="preserve">остепенная </w:t>
      </w:r>
      <w:r w:rsidR="00602CFF" w:rsidRPr="00BD1B82">
        <w:rPr>
          <w:rFonts w:ascii="Times New Roman" w:hAnsi="Times New Roman"/>
          <w:i/>
          <w:sz w:val="24"/>
          <w:szCs w:val="24"/>
        </w:rPr>
        <w:t>легализация сферы потребления</w:t>
      </w:r>
      <w:r w:rsidR="00602CFF">
        <w:rPr>
          <w:rFonts w:ascii="Times New Roman" w:hAnsi="Times New Roman"/>
          <w:sz w:val="24"/>
          <w:szCs w:val="24"/>
        </w:rPr>
        <w:t xml:space="preserve">: двукратный рост средней выручки на одну кассу, резкое ускорение роста поступлений НДС по сектору розничной торговли (+38% в 2017 году), увеличение регистрируемой выручки до оценочного уровня </w:t>
      </w:r>
      <w:r>
        <w:rPr>
          <w:rFonts w:ascii="Times New Roman" w:hAnsi="Times New Roman"/>
          <w:sz w:val="24"/>
          <w:szCs w:val="24"/>
        </w:rPr>
        <w:t xml:space="preserve">розничной торговли, включающего досчеты на не </w:t>
      </w:r>
      <w:r w:rsidRPr="00BD1B82">
        <w:rPr>
          <w:rFonts w:ascii="Times New Roman" w:hAnsi="Times New Roman"/>
          <w:sz w:val="24"/>
          <w:szCs w:val="24"/>
        </w:rPr>
        <w:t>наблюдаемой прямыми статистическими ме</w:t>
      </w:r>
      <w:r>
        <w:rPr>
          <w:rFonts w:ascii="Times New Roman" w:hAnsi="Times New Roman"/>
          <w:sz w:val="24"/>
          <w:szCs w:val="24"/>
        </w:rPr>
        <w:t>тодами объемы.</w:t>
      </w:r>
    </w:p>
    <w:p w:rsidR="00BD1B82" w:rsidRDefault="00BD1B82" w:rsidP="00BD1B82">
      <w:pPr>
        <w:pStyle w:val="aa"/>
        <w:spacing w:after="60"/>
        <w:ind w:left="709"/>
        <w:contextualSpacing w:val="0"/>
        <w:jc w:val="both"/>
        <w:rPr>
          <w:rFonts w:ascii="Times New Roman" w:hAnsi="Times New Roman"/>
          <w:sz w:val="24"/>
          <w:szCs w:val="24"/>
        </w:rPr>
      </w:pPr>
      <w:r w:rsidRPr="00BD1B82">
        <w:rPr>
          <w:rFonts w:ascii="Times New Roman" w:hAnsi="Times New Roman"/>
          <w:i/>
          <w:sz w:val="24"/>
          <w:szCs w:val="24"/>
        </w:rPr>
        <w:t>Снижение административной (контрольной) нагрузки</w:t>
      </w:r>
      <w:r>
        <w:rPr>
          <w:rFonts w:ascii="Times New Roman" w:hAnsi="Times New Roman"/>
          <w:sz w:val="24"/>
          <w:szCs w:val="24"/>
        </w:rPr>
        <w:t xml:space="preserve">: за счет автоматизации мониторинга и выявления правонарушений было обеспечено снижение количества оперативных проверок более чем в 2 раза в 2017 году и в 6 раз по </w:t>
      </w:r>
      <w:r>
        <w:rPr>
          <w:rFonts w:ascii="Times New Roman" w:hAnsi="Times New Roman"/>
          <w:sz w:val="24"/>
          <w:szCs w:val="24"/>
        </w:rPr>
        <w:lastRenderedPageBreak/>
        <w:t>итогам 1кв</w:t>
      </w:r>
      <w:r w:rsidRPr="00BD1B82">
        <w:rPr>
          <w:rFonts w:ascii="Times New Roman" w:hAnsi="Times New Roman"/>
          <w:sz w:val="24"/>
          <w:szCs w:val="24"/>
        </w:rPr>
        <w:t>’</w:t>
      </w:r>
      <w:r>
        <w:rPr>
          <w:rFonts w:ascii="Times New Roman" w:hAnsi="Times New Roman"/>
          <w:sz w:val="24"/>
          <w:szCs w:val="24"/>
        </w:rPr>
        <w:t>18 (при увеличении количества проверок, выявивших нарушения до 90%).</w:t>
      </w:r>
    </w:p>
    <w:p w:rsidR="00D02C11" w:rsidRPr="00D02C11" w:rsidRDefault="00D02C11" w:rsidP="006A22F2">
      <w:pPr>
        <w:pStyle w:val="aa"/>
        <w:numPr>
          <w:ilvl w:val="0"/>
          <w:numId w:val="9"/>
        </w:numPr>
        <w:spacing w:before="120" w:after="60"/>
        <w:ind w:left="357" w:hanging="357"/>
        <w:contextualSpacing w:val="0"/>
        <w:jc w:val="both"/>
        <w:rPr>
          <w:rFonts w:ascii="Times New Roman" w:hAnsi="Times New Roman"/>
          <w:sz w:val="24"/>
          <w:szCs w:val="24"/>
        </w:rPr>
      </w:pPr>
      <w:r w:rsidRPr="00B70AB9">
        <w:rPr>
          <w:rFonts w:ascii="Times New Roman" w:hAnsi="Times New Roman"/>
          <w:b/>
          <w:sz w:val="24"/>
          <w:szCs w:val="24"/>
        </w:rPr>
        <w:t>Создание единого механизма администрирования налоговых и таможенных платежей</w:t>
      </w:r>
      <w:r w:rsidR="006E7CB5">
        <w:rPr>
          <w:rFonts w:ascii="Times New Roman" w:hAnsi="Times New Roman"/>
          <w:sz w:val="24"/>
          <w:szCs w:val="24"/>
        </w:rPr>
        <w:t xml:space="preserve">, что призвано </w:t>
      </w:r>
      <w:r w:rsidRPr="00D02C11">
        <w:rPr>
          <w:rFonts w:ascii="Times New Roman" w:hAnsi="Times New Roman"/>
          <w:sz w:val="24"/>
          <w:szCs w:val="24"/>
        </w:rPr>
        <w:t xml:space="preserve">обеспечить прослеживаемость товара на всех этапах его жизненного цикла – от ввоза на таможенную территорию и ввода в коммерческий оборот до </w:t>
      </w:r>
      <w:r w:rsidR="00B70AB9">
        <w:rPr>
          <w:rFonts w:ascii="Times New Roman" w:hAnsi="Times New Roman"/>
          <w:sz w:val="24"/>
          <w:szCs w:val="24"/>
        </w:rPr>
        <w:t>реализации в розничном звене или поставки на экспорт</w:t>
      </w:r>
      <w:r w:rsidRPr="00D02C11">
        <w:rPr>
          <w:rFonts w:ascii="Times New Roman" w:hAnsi="Times New Roman"/>
          <w:sz w:val="24"/>
          <w:szCs w:val="24"/>
        </w:rPr>
        <w:t>.</w:t>
      </w:r>
    </w:p>
    <w:p w:rsidR="00D02C11" w:rsidRPr="00D02C11" w:rsidRDefault="00D02C11" w:rsidP="00B70AB9">
      <w:pPr>
        <w:pStyle w:val="aa"/>
        <w:spacing w:after="120"/>
        <w:ind w:left="357"/>
        <w:contextualSpacing w:val="0"/>
        <w:jc w:val="both"/>
        <w:rPr>
          <w:rFonts w:ascii="Times New Roman" w:hAnsi="Times New Roman"/>
          <w:sz w:val="24"/>
          <w:szCs w:val="24"/>
        </w:rPr>
      </w:pPr>
      <w:r w:rsidRPr="00D02C11">
        <w:rPr>
          <w:rFonts w:ascii="Times New Roman" w:hAnsi="Times New Roman"/>
          <w:sz w:val="24"/>
          <w:szCs w:val="24"/>
        </w:rPr>
        <w:t>На сегодняшний день завершен первый этап работ, связанный с выстраиванием системы взаимодействия между ФТС России и ФНС России, отработкой процедур обмена данными о внешнеторговых операциях налогоплательщиков, их налоговой и финансовой отчетности, сведениями о минимизации рисков нарушения таможенного, налогового и валютного законодательства и результатами правоохранительной деятельности.</w:t>
      </w:r>
    </w:p>
    <w:p w:rsidR="00D02C11" w:rsidRPr="00B70AB9" w:rsidRDefault="00D02C11" w:rsidP="006A22F2">
      <w:pPr>
        <w:pStyle w:val="aa"/>
        <w:numPr>
          <w:ilvl w:val="0"/>
          <w:numId w:val="9"/>
        </w:numPr>
        <w:spacing w:before="120" w:after="60"/>
        <w:ind w:left="357" w:hanging="357"/>
        <w:contextualSpacing w:val="0"/>
        <w:jc w:val="both"/>
        <w:rPr>
          <w:rFonts w:ascii="Times New Roman" w:hAnsi="Times New Roman"/>
          <w:sz w:val="24"/>
          <w:szCs w:val="24"/>
        </w:rPr>
      </w:pPr>
      <w:r w:rsidRPr="00B70AB9">
        <w:rPr>
          <w:rFonts w:ascii="Times New Roman" w:hAnsi="Times New Roman"/>
          <w:b/>
          <w:sz w:val="24"/>
          <w:szCs w:val="24"/>
        </w:rPr>
        <w:t>Улучшение администрирования и повышение собираемости страховых взносов</w:t>
      </w:r>
      <w:r w:rsidR="00B70AB9" w:rsidRPr="00B70AB9">
        <w:rPr>
          <w:rFonts w:ascii="Times New Roman" w:hAnsi="Times New Roman"/>
          <w:sz w:val="24"/>
          <w:szCs w:val="24"/>
        </w:rPr>
        <w:t>.</w:t>
      </w:r>
      <w:r w:rsidRPr="00B70AB9">
        <w:rPr>
          <w:rFonts w:ascii="Times New Roman" w:hAnsi="Times New Roman"/>
          <w:sz w:val="24"/>
          <w:szCs w:val="24"/>
        </w:rPr>
        <w:t xml:space="preserve"> Передача функций администрирования страховых взносов </w:t>
      </w:r>
      <w:r w:rsidR="00B70AB9" w:rsidRPr="00B70AB9">
        <w:rPr>
          <w:rFonts w:ascii="Times New Roman" w:hAnsi="Times New Roman"/>
          <w:sz w:val="24"/>
          <w:szCs w:val="24"/>
        </w:rPr>
        <w:t xml:space="preserve">ФНС России </w:t>
      </w:r>
      <w:r w:rsidRPr="00B70AB9">
        <w:rPr>
          <w:rFonts w:ascii="Times New Roman" w:hAnsi="Times New Roman"/>
          <w:sz w:val="24"/>
          <w:szCs w:val="24"/>
        </w:rPr>
        <w:t>позволила снизить общую административную нагрузку на хозяйствующие субъекты за счет сокращения количества государственных органов, осуществляющих контрольные мероприятия, и оптимизации количества представляемой в контролирующие органы отчетности</w:t>
      </w:r>
      <w:r w:rsidR="006E7CB5">
        <w:rPr>
          <w:rFonts w:ascii="Times New Roman" w:hAnsi="Times New Roman"/>
          <w:sz w:val="24"/>
          <w:szCs w:val="24"/>
        </w:rPr>
        <w:t xml:space="preserve"> (</w:t>
      </w:r>
      <w:r w:rsidR="00B70AB9">
        <w:rPr>
          <w:rFonts w:ascii="Times New Roman" w:hAnsi="Times New Roman"/>
          <w:sz w:val="24"/>
          <w:szCs w:val="24"/>
        </w:rPr>
        <w:t>о</w:t>
      </w:r>
      <w:r w:rsidRPr="00B70AB9">
        <w:rPr>
          <w:rFonts w:ascii="Times New Roman" w:hAnsi="Times New Roman"/>
          <w:sz w:val="24"/>
          <w:szCs w:val="24"/>
        </w:rPr>
        <w:t>бъем отчетности сокращен почти на 40%</w:t>
      </w:r>
      <w:r w:rsidR="006E7CB5">
        <w:rPr>
          <w:rFonts w:ascii="Times New Roman" w:hAnsi="Times New Roman"/>
          <w:sz w:val="24"/>
          <w:szCs w:val="24"/>
        </w:rPr>
        <w:t>)</w:t>
      </w:r>
      <w:r w:rsidR="00B70AB9">
        <w:rPr>
          <w:rFonts w:ascii="Times New Roman" w:hAnsi="Times New Roman"/>
          <w:sz w:val="24"/>
          <w:szCs w:val="24"/>
        </w:rPr>
        <w:t>.</w:t>
      </w:r>
    </w:p>
    <w:p w:rsidR="00D02C11" w:rsidRDefault="00D02C11" w:rsidP="00B70AB9">
      <w:pPr>
        <w:pStyle w:val="aa"/>
        <w:spacing w:after="120"/>
        <w:ind w:left="357"/>
        <w:contextualSpacing w:val="0"/>
        <w:jc w:val="both"/>
        <w:rPr>
          <w:rFonts w:ascii="Times New Roman" w:hAnsi="Times New Roman"/>
          <w:sz w:val="24"/>
          <w:szCs w:val="24"/>
        </w:rPr>
      </w:pPr>
      <w:r w:rsidRPr="00D02C11">
        <w:rPr>
          <w:rFonts w:ascii="Times New Roman" w:hAnsi="Times New Roman"/>
          <w:sz w:val="24"/>
          <w:szCs w:val="24"/>
        </w:rPr>
        <w:t xml:space="preserve">Поступления страховых взносов в 2017 году составили 6 784,2 млрд. рублей, что на 7,2% </w:t>
      </w:r>
      <w:r w:rsidR="00B70AB9">
        <w:rPr>
          <w:rFonts w:ascii="Times New Roman" w:hAnsi="Times New Roman"/>
          <w:sz w:val="24"/>
          <w:szCs w:val="24"/>
        </w:rPr>
        <w:t>(</w:t>
      </w:r>
      <w:r w:rsidRPr="00D02C11">
        <w:rPr>
          <w:rFonts w:ascii="Times New Roman" w:hAnsi="Times New Roman"/>
          <w:sz w:val="24"/>
          <w:szCs w:val="24"/>
        </w:rPr>
        <w:t>или 455,7 млрд. рублей</w:t>
      </w:r>
      <w:r w:rsidR="00B70AB9">
        <w:rPr>
          <w:rFonts w:ascii="Times New Roman" w:hAnsi="Times New Roman"/>
          <w:sz w:val="24"/>
          <w:szCs w:val="24"/>
        </w:rPr>
        <w:t>)</w:t>
      </w:r>
      <w:r w:rsidRPr="00D02C11">
        <w:rPr>
          <w:rFonts w:ascii="Times New Roman" w:hAnsi="Times New Roman"/>
          <w:sz w:val="24"/>
          <w:szCs w:val="24"/>
        </w:rPr>
        <w:t xml:space="preserve"> </w:t>
      </w:r>
      <w:r w:rsidR="00B70AB9">
        <w:rPr>
          <w:rFonts w:ascii="Times New Roman" w:hAnsi="Times New Roman"/>
          <w:sz w:val="24"/>
          <w:szCs w:val="24"/>
        </w:rPr>
        <w:t>выше</w:t>
      </w:r>
      <w:r w:rsidR="004E6E73">
        <w:rPr>
          <w:rFonts w:ascii="Times New Roman" w:hAnsi="Times New Roman"/>
          <w:sz w:val="24"/>
          <w:szCs w:val="24"/>
        </w:rPr>
        <w:t>,</w:t>
      </w:r>
      <w:r w:rsidR="00B70AB9">
        <w:rPr>
          <w:rFonts w:ascii="Times New Roman" w:hAnsi="Times New Roman"/>
          <w:sz w:val="24"/>
          <w:szCs w:val="24"/>
        </w:rPr>
        <w:t xml:space="preserve"> чем в 2016 году, а </w:t>
      </w:r>
      <w:r w:rsidRPr="00D02C11">
        <w:rPr>
          <w:rFonts w:ascii="Times New Roman" w:hAnsi="Times New Roman"/>
          <w:sz w:val="24"/>
          <w:szCs w:val="24"/>
        </w:rPr>
        <w:t>темп роста поступлений опередил темп роста средней заработной платы на 1.9 п.п. При этом в результате проведенной налоговыми органами работы по взысканию переданной задолженности в бюджет государственных внебюджетных фондов поступило 100 млрд. рублей.</w:t>
      </w:r>
    </w:p>
    <w:tbl>
      <w:tblPr>
        <w:tblStyle w:val="Smalltable"/>
        <w:tblW w:w="10440" w:type="dxa"/>
        <w:tblInd w:w="-823" w:type="dxa"/>
        <w:tblLayout w:type="fixed"/>
        <w:tblLook w:val="04A0" w:firstRow="1" w:lastRow="0" w:firstColumn="1" w:lastColumn="0" w:noHBand="0" w:noVBand="1"/>
      </w:tblPr>
      <w:tblGrid>
        <w:gridCol w:w="5104"/>
        <w:gridCol w:w="220"/>
        <w:gridCol w:w="14"/>
        <w:gridCol w:w="5088"/>
        <w:gridCol w:w="14"/>
      </w:tblGrid>
      <w:tr w:rsidR="00BD56A5" w:rsidRPr="00180B0E" w:rsidTr="003B61C6">
        <w:trPr>
          <w:gridAfter w:val="1"/>
          <w:wAfter w:w="14" w:type="dxa"/>
          <w:trHeight w:val="198"/>
        </w:trPr>
        <w:tc>
          <w:tcPr>
            <w:tcW w:w="5104" w:type="dxa"/>
            <w:shd w:val="clear" w:color="auto" w:fill="auto"/>
          </w:tcPr>
          <w:p w:rsidR="00BD56A5" w:rsidRPr="008823F8" w:rsidRDefault="00BD56A5" w:rsidP="00001703">
            <w:pPr>
              <w:suppressAutoHyphens/>
              <w:spacing w:before="120" w:after="40"/>
              <w:rPr>
                <w:rFonts w:ascii="Times New Roman" w:hAnsi="Times New Roman"/>
                <w:b/>
                <w:sz w:val="24"/>
                <w:szCs w:val="24"/>
                <w:lang w:val="ru-RU" w:bidi="ml-IN"/>
              </w:rPr>
            </w:pPr>
            <w:r>
              <w:rPr>
                <w:rFonts w:ascii="Times New Roman" w:hAnsi="Times New Roman"/>
                <w:b/>
                <w:sz w:val="24"/>
                <w:szCs w:val="24"/>
                <w:lang w:val="ru-RU" w:bidi="ml-IN"/>
              </w:rPr>
              <w:t xml:space="preserve">Собираемость </w:t>
            </w:r>
            <w:r w:rsidR="00001703">
              <w:rPr>
                <w:rFonts w:ascii="Times New Roman" w:hAnsi="Times New Roman"/>
                <w:b/>
                <w:sz w:val="24"/>
                <w:szCs w:val="24"/>
                <w:lang w:val="ru-RU" w:bidi="ml-IN"/>
              </w:rPr>
              <w:t xml:space="preserve">НДС </w:t>
            </w:r>
          </w:p>
        </w:tc>
        <w:tc>
          <w:tcPr>
            <w:tcW w:w="220" w:type="dxa"/>
            <w:shd w:val="clear" w:color="auto" w:fill="auto"/>
          </w:tcPr>
          <w:p w:rsidR="00BD56A5" w:rsidRPr="008823F8" w:rsidRDefault="00BD56A5" w:rsidP="00823010">
            <w:pPr>
              <w:suppressAutoHyphens/>
              <w:spacing w:before="120" w:after="40"/>
              <w:rPr>
                <w:rFonts w:ascii="Times New Roman" w:hAnsi="Times New Roman"/>
                <w:sz w:val="24"/>
                <w:szCs w:val="24"/>
                <w:lang w:val="ru-RU" w:bidi="ml-IN"/>
              </w:rPr>
            </w:pPr>
          </w:p>
        </w:tc>
        <w:tc>
          <w:tcPr>
            <w:tcW w:w="5102" w:type="dxa"/>
            <w:gridSpan w:val="2"/>
            <w:shd w:val="clear" w:color="auto" w:fill="auto"/>
          </w:tcPr>
          <w:p w:rsidR="00BD56A5" w:rsidRPr="00180B0E" w:rsidRDefault="004900BA" w:rsidP="004900BA">
            <w:pPr>
              <w:suppressAutoHyphens/>
              <w:spacing w:before="120" w:after="40"/>
              <w:rPr>
                <w:rFonts w:ascii="Times New Roman" w:hAnsi="Times New Roman"/>
                <w:b/>
                <w:sz w:val="24"/>
                <w:szCs w:val="24"/>
                <w:lang w:val="ru-RU" w:bidi="ml-IN"/>
              </w:rPr>
            </w:pPr>
            <w:r>
              <w:rPr>
                <w:rFonts w:ascii="Times New Roman" w:hAnsi="Times New Roman"/>
                <w:b/>
                <w:sz w:val="24"/>
                <w:szCs w:val="24"/>
                <w:lang w:val="ru-RU" w:bidi="ml-IN"/>
              </w:rPr>
              <w:t>Динамика в</w:t>
            </w:r>
            <w:r w:rsidRPr="004900BA">
              <w:rPr>
                <w:rFonts w:ascii="Times New Roman" w:hAnsi="Times New Roman"/>
                <w:b/>
                <w:sz w:val="24"/>
                <w:szCs w:val="24"/>
                <w:lang w:val="ru-RU" w:bidi="ml-IN"/>
              </w:rPr>
              <w:t>ыручк</w:t>
            </w:r>
            <w:r>
              <w:rPr>
                <w:rFonts w:ascii="Times New Roman" w:hAnsi="Times New Roman"/>
                <w:b/>
                <w:sz w:val="24"/>
                <w:szCs w:val="24"/>
                <w:lang w:val="ru-RU" w:bidi="ml-IN"/>
              </w:rPr>
              <w:t>и</w:t>
            </w:r>
            <w:r w:rsidRPr="004900BA">
              <w:rPr>
                <w:rFonts w:ascii="Times New Roman" w:hAnsi="Times New Roman"/>
                <w:b/>
                <w:sz w:val="24"/>
                <w:szCs w:val="24"/>
                <w:lang w:val="ru-RU" w:bidi="ml-IN"/>
              </w:rPr>
              <w:t>, фиксируемой онлайн-кассами</w:t>
            </w:r>
          </w:p>
        </w:tc>
      </w:tr>
      <w:tr w:rsidR="00BD56A5" w:rsidRPr="00180B0E" w:rsidTr="003B61C6">
        <w:trPr>
          <w:gridAfter w:val="1"/>
          <w:wAfter w:w="14" w:type="dxa"/>
          <w:trHeight w:hRule="exact" w:val="28"/>
        </w:trPr>
        <w:tc>
          <w:tcPr>
            <w:tcW w:w="5104" w:type="dxa"/>
            <w:tcBorders>
              <w:bottom w:val="single" w:sz="4" w:space="0" w:color="auto"/>
            </w:tcBorders>
            <w:shd w:val="clear" w:color="auto" w:fill="auto"/>
          </w:tcPr>
          <w:p w:rsidR="00BD56A5" w:rsidRPr="006F0FD8" w:rsidRDefault="00BD56A5" w:rsidP="00823010">
            <w:pPr>
              <w:rPr>
                <w:rFonts w:ascii="Times New Roman" w:hAnsi="Times New Roman"/>
                <w:lang w:val="ru-RU" w:bidi="ml-IN"/>
              </w:rPr>
            </w:pPr>
          </w:p>
        </w:tc>
        <w:tc>
          <w:tcPr>
            <w:tcW w:w="220" w:type="dxa"/>
            <w:shd w:val="clear" w:color="auto" w:fill="auto"/>
          </w:tcPr>
          <w:p w:rsidR="00BD56A5" w:rsidRPr="006F0FD8" w:rsidRDefault="00BD56A5" w:rsidP="00823010">
            <w:pPr>
              <w:rPr>
                <w:rFonts w:ascii="Times New Roman" w:hAnsi="Times New Roman"/>
                <w:lang w:val="ru-RU" w:bidi="ml-IN"/>
              </w:rPr>
            </w:pPr>
          </w:p>
        </w:tc>
        <w:tc>
          <w:tcPr>
            <w:tcW w:w="5102" w:type="dxa"/>
            <w:gridSpan w:val="2"/>
            <w:tcBorders>
              <w:bottom w:val="single" w:sz="4" w:space="0" w:color="auto"/>
            </w:tcBorders>
            <w:shd w:val="clear" w:color="auto" w:fill="auto"/>
          </w:tcPr>
          <w:p w:rsidR="00BD56A5" w:rsidRPr="00180B0E" w:rsidRDefault="00BD56A5" w:rsidP="00823010">
            <w:pPr>
              <w:rPr>
                <w:rFonts w:ascii="Times New Roman" w:hAnsi="Times New Roman"/>
                <w:lang w:val="ru-RU" w:bidi="ml-IN"/>
              </w:rPr>
            </w:pPr>
          </w:p>
        </w:tc>
      </w:tr>
      <w:tr w:rsidR="00BD56A5" w:rsidRPr="00180B0E" w:rsidTr="003B61C6">
        <w:tblPrEx>
          <w:tblCellMar>
            <w:left w:w="108" w:type="dxa"/>
            <w:right w:w="108" w:type="dxa"/>
          </w:tblCellMar>
        </w:tblPrEx>
        <w:trPr>
          <w:trHeight w:val="2200"/>
        </w:trPr>
        <w:tc>
          <w:tcPr>
            <w:tcW w:w="5104" w:type="dxa"/>
            <w:tcBorders>
              <w:top w:val="single" w:sz="4" w:space="0" w:color="auto"/>
              <w:bottom w:val="single" w:sz="4" w:space="0" w:color="auto"/>
            </w:tcBorders>
            <w:shd w:val="clear" w:color="auto" w:fill="auto"/>
            <w:tcMar>
              <w:left w:w="0" w:type="nil"/>
              <w:right w:w="0" w:type="nil"/>
            </w:tcMar>
            <w:vAlign w:val="center"/>
          </w:tcPr>
          <w:p w:rsidR="00BD56A5" w:rsidRPr="002A1206" w:rsidRDefault="00001703" w:rsidP="00823010">
            <w:pPr>
              <w:jc w:val="left"/>
              <w:rPr>
                <w:rFonts w:ascii="Times New Roman" w:hAnsi="Times New Roman"/>
                <w:lang w:val="ru-RU" w:bidi="ml-IN"/>
              </w:rPr>
            </w:pPr>
            <w:r>
              <w:rPr>
                <w:noProof/>
                <w:lang w:eastAsia="ru-RU"/>
              </w:rPr>
              <w:drawing>
                <wp:inline distT="0" distB="0" distL="0" distR="0" wp14:anchorId="2AA6F3D7" wp14:editId="61E557F8">
                  <wp:extent cx="3352800" cy="2718816"/>
                  <wp:effectExtent l="0" t="0" r="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234" w:type="dxa"/>
            <w:gridSpan w:val="2"/>
            <w:shd w:val="clear" w:color="auto" w:fill="auto"/>
            <w:tcMar>
              <w:left w:w="0" w:type="nil"/>
              <w:right w:w="0" w:type="nil"/>
            </w:tcMar>
          </w:tcPr>
          <w:p w:rsidR="00BD56A5" w:rsidRPr="002A1206" w:rsidRDefault="00BD56A5" w:rsidP="00823010">
            <w:pPr>
              <w:rPr>
                <w:rFonts w:ascii="Times New Roman" w:hAnsi="Times New Roman"/>
                <w:lang w:val="ru-RU" w:bidi="ml-IN"/>
              </w:rPr>
            </w:pPr>
          </w:p>
        </w:tc>
        <w:tc>
          <w:tcPr>
            <w:tcW w:w="5102" w:type="dxa"/>
            <w:gridSpan w:val="2"/>
            <w:tcBorders>
              <w:top w:val="single" w:sz="4" w:space="0" w:color="auto"/>
              <w:bottom w:val="single" w:sz="4" w:space="0" w:color="auto"/>
            </w:tcBorders>
            <w:shd w:val="clear" w:color="auto" w:fill="auto"/>
            <w:tcMar>
              <w:left w:w="0" w:type="nil"/>
              <w:right w:w="0" w:type="nil"/>
            </w:tcMar>
            <w:vAlign w:val="center"/>
          </w:tcPr>
          <w:p w:rsidR="00BD56A5" w:rsidRPr="004900BA" w:rsidRDefault="00BD56A5" w:rsidP="00823010">
            <w:pPr>
              <w:jc w:val="left"/>
              <w:rPr>
                <w:rFonts w:ascii="Times New Roman" w:eastAsia="Calibri" w:hAnsi="Times New Roman"/>
                <w:lang w:bidi="ml-IN"/>
              </w:rPr>
            </w:pPr>
            <w:r w:rsidRPr="004900BA">
              <w:rPr>
                <w:noProof/>
                <w:lang w:val="ru-RU" w:eastAsia="ru-RU"/>
              </w:rPr>
              <w:t xml:space="preserve"> </w:t>
            </w:r>
            <w:r w:rsidR="008124BE">
              <w:rPr>
                <w:noProof/>
                <w:lang w:eastAsia="ru-RU"/>
              </w:rPr>
              <w:drawing>
                <wp:inline distT="0" distB="0" distL="0" distR="0" wp14:anchorId="366CBAC5" wp14:editId="0445E87E">
                  <wp:extent cx="3000375" cy="2588821"/>
                  <wp:effectExtent l="0" t="0" r="0" b="2540"/>
                  <wp:docPr id="1" name="Диаграмма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07D46DA-3C90-46F0-9EB7-C86AFAFBB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BD56A5" w:rsidRPr="006F0FD8" w:rsidTr="003B61C6">
        <w:trPr>
          <w:gridAfter w:val="1"/>
          <w:wAfter w:w="14" w:type="dxa"/>
          <w:trHeight w:val="198"/>
        </w:trPr>
        <w:tc>
          <w:tcPr>
            <w:tcW w:w="5104" w:type="dxa"/>
            <w:tcBorders>
              <w:top w:val="single" w:sz="4" w:space="0" w:color="auto"/>
            </w:tcBorders>
            <w:shd w:val="clear" w:color="auto" w:fill="auto"/>
          </w:tcPr>
          <w:p w:rsidR="00BD56A5" w:rsidRPr="006F0FD8" w:rsidRDefault="00BD56A5" w:rsidP="00823010">
            <w:pPr>
              <w:suppressAutoHyphens/>
              <w:spacing w:after="240" w:line="160" w:lineRule="atLeast"/>
              <w:rPr>
                <w:rFonts w:ascii="Times New Roman" w:hAnsi="Times New Roman"/>
                <w:i/>
                <w:sz w:val="14"/>
                <w:szCs w:val="14"/>
                <w:lang w:val="ru-RU" w:bidi="ml-IN"/>
              </w:rPr>
            </w:pPr>
            <w:r w:rsidRPr="006F0FD8">
              <w:rPr>
                <w:rFonts w:ascii="Times New Roman" w:hAnsi="Times New Roman"/>
                <w:i/>
                <w:sz w:val="14"/>
                <w:szCs w:val="14"/>
                <w:lang w:val="ru-RU" w:bidi="ml-IN"/>
              </w:rPr>
              <w:t>Источник:</w:t>
            </w:r>
            <w:r w:rsidRPr="006F0FD8">
              <w:rPr>
                <w:rFonts w:ascii="Times New Roman" w:hAnsi="Times New Roman"/>
                <w:i/>
                <w:sz w:val="14"/>
                <w:szCs w:val="14"/>
                <w:lang w:val="en-GB" w:bidi="ml-IN"/>
              </w:rPr>
              <w:t> </w:t>
            </w:r>
            <w:r w:rsidRPr="006F0FD8">
              <w:rPr>
                <w:rFonts w:ascii="Times New Roman" w:hAnsi="Times New Roman"/>
                <w:i/>
                <w:sz w:val="14"/>
                <w:szCs w:val="14"/>
                <w:lang w:val="ru-RU" w:bidi="ml-IN"/>
              </w:rPr>
              <w:t>Росстат</w:t>
            </w:r>
            <w:r>
              <w:rPr>
                <w:rFonts w:ascii="Times New Roman" w:hAnsi="Times New Roman"/>
                <w:i/>
                <w:sz w:val="14"/>
                <w:szCs w:val="14"/>
                <w:lang w:val="ru-RU" w:bidi="ml-IN"/>
              </w:rPr>
              <w:t>, Федеральное Казначейство</w:t>
            </w:r>
          </w:p>
        </w:tc>
        <w:tc>
          <w:tcPr>
            <w:tcW w:w="220" w:type="dxa"/>
            <w:shd w:val="clear" w:color="auto" w:fill="auto"/>
          </w:tcPr>
          <w:p w:rsidR="00BD56A5" w:rsidRPr="006F0FD8" w:rsidRDefault="00BD56A5" w:rsidP="00823010">
            <w:pPr>
              <w:suppressAutoHyphens/>
              <w:spacing w:after="240" w:line="160" w:lineRule="atLeast"/>
              <w:rPr>
                <w:rFonts w:ascii="Times New Roman" w:hAnsi="Times New Roman"/>
                <w:sz w:val="14"/>
                <w:szCs w:val="14"/>
                <w:lang w:val="ru-RU" w:bidi="ml-IN"/>
              </w:rPr>
            </w:pPr>
          </w:p>
        </w:tc>
        <w:tc>
          <w:tcPr>
            <w:tcW w:w="5102" w:type="dxa"/>
            <w:gridSpan w:val="2"/>
            <w:tcBorders>
              <w:top w:val="single" w:sz="4" w:space="0" w:color="auto"/>
            </w:tcBorders>
            <w:shd w:val="clear" w:color="auto" w:fill="auto"/>
          </w:tcPr>
          <w:p w:rsidR="00BD56A5" w:rsidRPr="006F0FD8" w:rsidRDefault="00BD56A5" w:rsidP="004900BA">
            <w:pPr>
              <w:suppressAutoHyphens/>
              <w:spacing w:after="240" w:line="160" w:lineRule="atLeast"/>
              <w:rPr>
                <w:rFonts w:ascii="Times New Roman" w:hAnsi="Times New Roman"/>
                <w:i/>
                <w:sz w:val="14"/>
                <w:szCs w:val="14"/>
                <w:lang w:bidi="ml-IN"/>
              </w:rPr>
            </w:pPr>
            <w:r w:rsidRPr="006F0FD8">
              <w:rPr>
                <w:rFonts w:ascii="Times New Roman" w:hAnsi="Times New Roman"/>
                <w:i/>
                <w:sz w:val="14"/>
                <w:szCs w:val="14"/>
                <w:lang w:val="ru-RU" w:bidi="ml-IN"/>
              </w:rPr>
              <w:t>Источник:</w:t>
            </w:r>
            <w:r w:rsidRPr="006F0FD8">
              <w:rPr>
                <w:rFonts w:ascii="Times New Roman" w:hAnsi="Times New Roman"/>
                <w:i/>
                <w:sz w:val="14"/>
                <w:szCs w:val="14"/>
                <w:lang w:val="en-GB" w:bidi="ml-IN"/>
              </w:rPr>
              <w:t> </w:t>
            </w:r>
            <w:r w:rsidR="004900BA">
              <w:rPr>
                <w:rFonts w:ascii="Times New Roman" w:hAnsi="Times New Roman"/>
                <w:i/>
                <w:sz w:val="14"/>
                <w:szCs w:val="14"/>
                <w:lang w:val="ru-RU" w:bidi="ml-IN"/>
              </w:rPr>
              <w:t>ФНС России, Росстат</w:t>
            </w:r>
          </w:p>
        </w:tc>
      </w:tr>
    </w:tbl>
    <w:p w:rsidR="00D02C11" w:rsidRPr="006E7CB5" w:rsidRDefault="00D02C11" w:rsidP="006A22F2">
      <w:pPr>
        <w:pStyle w:val="aa"/>
        <w:numPr>
          <w:ilvl w:val="0"/>
          <w:numId w:val="9"/>
        </w:numPr>
        <w:spacing w:before="120" w:after="60"/>
        <w:ind w:left="357" w:hanging="357"/>
        <w:contextualSpacing w:val="0"/>
        <w:jc w:val="both"/>
        <w:rPr>
          <w:rFonts w:ascii="Times New Roman" w:hAnsi="Times New Roman"/>
          <w:b/>
          <w:sz w:val="24"/>
          <w:szCs w:val="24"/>
        </w:rPr>
      </w:pPr>
      <w:r w:rsidRPr="006E7CB5">
        <w:rPr>
          <w:rFonts w:ascii="Times New Roman" w:hAnsi="Times New Roman"/>
          <w:b/>
          <w:sz w:val="24"/>
          <w:szCs w:val="24"/>
        </w:rPr>
        <w:lastRenderedPageBreak/>
        <w:t xml:space="preserve">Внедрение систем прослеживаемости </w:t>
      </w:r>
      <w:r w:rsidRPr="006E7CB5">
        <w:rPr>
          <w:rFonts w:ascii="Times New Roman" w:hAnsi="Times New Roman"/>
          <w:sz w:val="24"/>
          <w:szCs w:val="24"/>
        </w:rPr>
        <w:t>(контроля за производством и оборотом)</w:t>
      </w:r>
      <w:r w:rsidR="008E7A23">
        <w:rPr>
          <w:rFonts w:ascii="Times New Roman" w:hAnsi="Times New Roman"/>
          <w:sz w:val="24"/>
          <w:szCs w:val="24"/>
        </w:rPr>
        <w:t>:</w:t>
      </w:r>
    </w:p>
    <w:p w:rsidR="00D02C11" w:rsidRDefault="00D02C11" w:rsidP="008E7A23">
      <w:pPr>
        <w:pStyle w:val="aa"/>
        <w:spacing w:after="60"/>
        <w:ind w:left="357"/>
        <w:contextualSpacing w:val="0"/>
        <w:jc w:val="both"/>
        <w:rPr>
          <w:rFonts w:ascii="Times New Roman" w:hAnsi="Times New Roman"/>
          <w:sz w:val="24"/>
          <w:szCs w:val="24"/>
        </w:rPr>
      </w:pPr>
      <w:r w:rsidRPr="00D02C11">
        <w:rPr>
          <w:rFonts w:ascii="Times New Roman" w:hAnsi="Times New Roman"/>
          <w:sz w:val="24"/>
          <w:szCs w:val="24"/>
        </w:rPr>
        <w:t xml:space="preserve">В 2017 году </w:t>
      </w:r>
      <w:r w:rsidR="006E7CB5">
        <w:rPr>
          <w:rFonts w:ascii="Times New Roman" w:hAnsi="Times New Roman"/>
          <w:sz w:val="24"/>
          <w:szCs w:val="24"/>
        </w:rPr>
        <w:t xml:space="preserve">было </w:t>
      </w:r>
      <w:r w:rsidRPr="00D02C11">
        <w:rPr>
          <w:rFonts w:ascii="Times New Roman" w:hAnsi="Times New Roman"/>
          <w:sz w:val="24"/>
          <w:szCs w:val="24"/>
        </w:rPr>
        <w:t xml:space="preserve">завершено подключение </w:t>
      </w:r>
      <w:r w:rsidR="006E7CB5">
        <w:rPr>
          <w:rFonts w:ascii="Times New Roman" w:hAnsi="Times New Roman"/>
          <w:sz w:val="24"/>
          <w:szCs w:val="24"/>
        </w:rPr>
        <w:t xml:space="preserve">к </w:t>
      </w:r>
      <w:r w:rsidR="006E7CB5" w:rsidRPr="00D02C11">
        <w:rPr>
          <w:rFonts w:ascii="Times New Roman" w:hAnsi="Times New Roman"/>
          <w:sz w:val="24"/>
          <w:szCs w:val="24"/>
        </w:rPr>
        <w:t xml:space="preserve">ЕГАИС </w:t>
      </w:r>
      <w:r w:rsidRPr="00D02C11">
        <w:rPr>
          <w:rFonts w:ascii="Times New Roman" w:hAnsi="Times New Roman"/>
          <w:sz w:val="24"/>
          <w:szCs w:val="24"/>
        </w:rPr>
        <w:t>оптового и розничного звена алкогольного рынка</w:t>
      </w:r>
      <w:r w:rsidR="006E7CB5">
        <w:rPr>
          <w:rFonts w:ascii="Times New Roman" w:hAnsi="Times New Roman"/>
          <w:sz w:val="24"/>
          <w:szCs w:val="24"/>
        </w:rPr>
        <w:t xml:space="preserve">, благодаря чему </w:t>
      </w:r>
      <w:r w:rsidRPr="00D02C11">
        <w:rPr>
          <w:rFonts w:ascii="Times New Roman" w:hAnsi="Times New Roman"/>
          <w:sz w:val="24"/>
          <w:szCs w:val="24"/>
        </w:rPr>
        <w:t xml:space="preserve">сумма поступивших акцизов на этиловый спирт, алкогольную и спиртосодержащую продукцию за 2017 год увеличилась на 10,8 % </w:t>
      </w:r>
      <w:r w:rsidR="006E7CB5">
        <w:rPr>
          <w:rFonts w:ascii="Times New Roman" w:hAnsi="Times New Roman"/>
          <w:sz w:val="24"/>
          <w:szCs w:val="24"/>
        </w:rPr>
        <w:t xml:space="preserve">г/г до </w:t>
      </w:r>
      <w:r w:rsidRPr="00D02C11">
        <w:rPr>
          <w:rFonts w:ascii="Times New Roman" w:hAnsi="Times New Roman"/>
          <w:sz w:val="24"/>
          <w:szCs w:val="24"/>
        </w:rPr>
        <w:t xml:space="preserve">362,8 млрд. руб. (327,6 млрд. рублей </w:t>
      </w:r>
      <w:r w:rsidR="006E7CB5">
        <w:rPr>
          <w:rFonts w:ascii="Times New Roman" w:hAnsi="Times New Roman"/>
          <w:sz w:val="24"/>
          <w:szCs w:val="24"/>
        </w:rPr>
        <w:t>за 2016 год</w:t>
      </w:r>
      <w:r w:rsidRPr="00D02C11">
        <w:rPr>
          <w:rFonts w:ascii="Times New Roman" w:hAnsi="Times New Roman"/>
          <w:sz w:val="24"/>
          <w:szCs w:val="24"/>
        </w:rPr>
        <w:t>).</w:t>
      </w:r>
    </w:p>
    <w:p w:rsidR="008E7A23" w:rsidRDefault="008E7A23" w:rsidP="008E7A23">
      <w:pPr>
        <w:pStyle w:val="aa"/>
        <w:spacing w:after="60"/>
        <w:ind w:left="357"/>
        <w:contextualSpacing w:val="0"/>
        <w:jc w:val="both"/>
        <w:rPr>
          <w:rFonts w:ascii="Times New Roman" w:hAnsi="Times New Roman"/>
          <w:sz w:val="24"/>
          <w:szCs w:val="24"/>
        </w:rPr>
      </w:pPr>
      <w:r w:rsidRPr="008E7A23">
        <w:rPr>
          <w:rFonts w:ascii="Times New Roman" w:hAnsi="Times New Roman"/>
          <w:sz w:val="24"/>
          <w:szCs w:val="24"/>
        </w:rPr>
        <w:t>Созданы правовые основы, предусматривающие наделение Правительства Российской Федерации полномочиями по определению перечня товаров, подлежащих обязательной маркировке средствами идентификации, правил их маркировки, порядка информационного обеспечения маркировки таких товаров.</w:t>
      </w:r>
    </w:p>
    <w:p w:rsidR="00025225" w:rsidRDefault="00025225" w:rsidP="006A22F2">
      <w:pPr>
        <w:pStyle w:val="aa"/>
        <w:numPr>
          <w:ilvl w:val="0"/>
          <w:numId w:val="9"/>
        </w:numPr>
        <w:spacing w:before="120" w:after="60"/>
        <w:ind w:left="357" w:hanging="357"/>
        <w:contextualSpacing w:val="0"/>
        <w:jc w:val="both"/>
        <w:rPr>
          <w:rFonts w:ascii="Times New Roman" w:hAnsi="Times New Roman"/>
          <w:sz w:val="24"/>
          <w:szCs w:val="24"/>
        </w:rPr>
      </w:pPr>
      <w:r w:rsidRPr="008F0EFD">
        <w:rPr>
          <w:rFonts w:ascii="Times New Roman" w:hAnsi="Times New Roman"/>
          <w:b/>
          <w:sz w:val="24"/>
          <w:szCs w:val="24"/>
        </w:rPr>
        <w:t xml:space="preserve">Деофшоризация. </w:t>
      </w:r>
      <w:r w:rsidRPr="008F0EFD">
        <w:rPr>
          <w:rFonts w:ascii="Times New Roman" w:hAnsi="Times New Roman"/>
          <w:sz w:val="24"/>
          <w:szCs w:val="24"/>
        </w:rPr>
        <w:t>В 2017 году в целях обеспечения возврата российского капитала и сокращения его вывоза за рубеж осуществлен ряд дополнительных мер по деофшоризации российской экономики, принятых в развитие действующих с 2015 года мер</w:t>
      </w:r>
      <w:r w:rsidR="008F0EFD" w:rsidRPr="008F0EFD">
        <w:rPr>
          <w:rFonts w:ascii="Times New Roman" w:hAnsi="Times New Roman"/>
          <w:sz w:val="24"/>
          <w:szCs w:val="24"/>
        </w:rPr>
        <w:t>, в том числе уточнены</w:t>
      </w:r>
      <w:r w:rsidRPr="008F0EFD">
        <w:rPr>
          <w:rFonts w:ascii="Times New Roman" w:hAnsi="Times New Roman"/>
          <w:sz w:val="24"/>
          <w:szCs w:val="24"/>
        </w:rPr>
        <w:t>:</w:t>
      </w:r>
      <w:r w:rsidR="008F0EFD" w:rsidRPr="008F0EFD">
        <w:rPr>
          <w:rFonts w:ascii="Times New Roman" w:hAnsi="Times New Roman"/>
          <w:sz w:val="24"/>
          <w:szCs w:val="24"/>
        </w:rPr>
        <w:t xml:space="preserve"> (1) </w:t>
      </w:r>
      <w:r w:rsidRPr="008F0EFD">
        <w:rPr>
          <w:rFonts w:ascii="Times New Roman" w:hAnsi="Times New Roman"/>
          <w:sz w:val="24"/>
          <w:szCs w:val="24"/>
        </w:rPr>
        <w:t xml:space="preserve">правила переноса на будущее убытков </w:t>
      </w:r>
      <w:r w:rsidR="008F0EFD" w:rsidRPr="008F0EFD">
        <w:rPr>
          <w:rFonts w:ascii="Times New Roman" w:hAnsi="Times New Roman"/>
          <w:sz w:val="24"/>
          <w:szCs w:val="24"/>
        </w:rPr>
        <w:t xml:space="preserve">КИК </w:t>
      </w:r>
      <w:r w:rsidRPr="008F0EFD">
        <w:rPr>
          <w:rFonts w:ascii="Times New Roman" w:hAnsi="Times New Roman"/>
          <w:sz w:val="24"/>
          <w:szCs w:val="24"/>
        </w:rPr>
        <w:t>за три года, непосредственно предшествующих 2015 году;</w:t>
      </w:r>
      <w:r w:rsidR="008F0EFD" w:rsidRPr="008F0EFD">
        <w:rPr>
          <w:rFonts w:ascii="Times New Roman" w:hAnsi="Times New Roman"/>
          <w:sz w:val="24"/>
          <w:szCs w:val="24"/>
        </w:rPr>
        <w:t xml:space="preserve"> (2) </w:t>
      </w:r>
      <w:r w:rsidRPr="008F0EFD">
        <w:rPr>
          <w:rFonts w:ascii="Times New Roman" w:hAnsi="Times New Roman"/>
          <w:sz w:val="24"/>
          <w:szCs w:val="24"/>
        </w:rPr>
        <w:t xml:space="preserve">порядок налогообложения операций </w:t>
      </w:r>
      <w:r w:rsidR="008F0EFD" w:rsidRPr="008F0EFD">
        <w:rPr>
          <w:rFonts w:ascii="Times New Roman" w:hAnsi="Times New Roman"/>
          <w:sz w:val="24"/>
          <w:szCs w:val="24"/>
        </w:rPr>
        <w:t>КИК</w:t>
      </w:r>
      <w:r w:rsidRPr="008F0EFD">
        <w:rPr>
          <w:rFonts w:ascii="Times New Roman" w:hAnsi="Times New Roman"/>
          <w:sz w:val="24"/>
          <w:szCs w:val="24"/>
        </w:rPr>
        <w:t xml:space="preserve"> с финансовыми активами (включая ценные бумаги);</w:t>
      </w:r>
      <w:r w:rsidR="008F0EFD" w:rsidRPr="008F0EFD">
        <w:rPr>
          <w:rFonts w:ascii="Times New Roman" w:hAnsi="Times New Roman"/>
          <w:sz w:val="24"/>
          <w:szCs w:val="24"/>
        </w:rPr>
        <w:t xml:space="preserve"> (3) </w:t>
      </w:r>
      <w:r w:rsidRPr="008F0EFD">
        <w:rPr>
          <w:rFonts w:ascii="Times New Roman" w:hAnsi="Times New Roman"/>
          <w:sz w:val="24"/>
          <w:szCs w:val="24"/>
        </w:rPr>
        <w:t xml:space="preserve">порядок исчисления финансовых показателей </w:t>
      </w:r>
      <w:r w:rsidR="008F0EFD" w:rsidRPr="008F0EFD">
        <w:rPr>
          <w:rFonts w:ascii="Times New Roman" w:hAnsi="Times New Roman"/>
          <w:sz w:val="24"/>
          <w:szCs w:val="24"/>
        </w:rPr>
        <w:t>КИК</w:t>
      </w:r>
      <w:r w:rsidRPr="008F0EFD">
        <w:rPr>
          <w:rFonts w:ascii="Times New Roman" w:hAnsi="Times New Roman"/>
          <w:sz w:val="24"/>
          <w:szCs w:val="24"/>
        </w:rPr>
        <w:t xml:space="preserve">, являющейся участником иностранной </w:t>
      </w:r>
      <w:r w:rsidR="008F0EFD" w:rsidRPr="008F0EFD">
        <w:rPr>
          <w:rFonts w:ascii="Times New Roman" w:hAnsi="Times New Roman"/>
          <w:sz w:val="24"/>
          <w:szCs w:val="24"/>
        </w:rPr>
        <w:t>КГН</w:t>
      </w:r>
      <w:r w:rsidRPr="008F0EFD">
        <w:rPr>
          <w:rFonts w:ascii="Times New Roman" w:hAnsi="Times New Roman"/>
          <w:sz w:val="24"/>
          <w:szCs w:val="24"/>
        </w:rPr>
        <w:t>;</w:t>
      </w:r>
      <w:r w:rsidR="008F0EFD" w:rsidRPr="008F0EFD">
        <w:rPr>
          <w:rFonts w:ascii="Times New Roman" w:hAnsi="Times New Roman"/>
          <w:sz w:val="24"/>
          <w:szCs w:val="24"/>
        </w:rPr>
        <w:t xml:space="preserve"> (4) </w:t>
      </w:r>
      <w:r w:rsidRPr="008F0EFD">
        <w:rPr>
          <w:rFonts w:ascii="Times New Roman" w:hAnsi="Times New Roman"/>
          <w:sz w:val="24"/>
          <w:szCs w:val="24"/>
        </w:rPr>
        <w:t xml:space="preserve">порядок подачи документов, подтверждающих условия освобождения прибыли </w:t>
      </w:r>
      <w:r w:rsidR="008F0EFD" w:rsidRPr="008F0EFD">
        <w:rPr>
          <w:rFonts w:ascii="Times New Roman" w:hAnsi="Times New Roman"/>
          <w:sz w:val="24"/>
          <w:szCs w:val="24"/>
        </w:rPr>
        <w:t>КИК</w:t>
      </w:r>
      <w:r w:rsidRPr="008F0EFD">
        <w:rPr>
          <w:rFonts w:ascii="Times New Roman" w:hAnsi="Times New Roman"/>
          <w:sz w:val="24"/>
          <w:szCs w:val="24"/>
        </w:rPr>
        <w:t xml:space="preserve"> от налогообложения в рамках многоуровневых цепочек владения;</w:t>
      </w:r>
      <w:r w:rsidR="008F0EFD" w:rsidRPr="008F0EFD">
        <w:rPr>
          <w:rFonts w:ascii="Times New Roman" w:hAnsi="Times New Roman"/>
          <w:sz w:val="24"/>
          <w:szCs w:val="24"/>
        </w:rPr>
        <w:t xml:space="preserve"> (5) </w:t>
      </w:r>
      <w:r w:rsidRPr="008F0EFD">
        <w:rPr>
          <w:rFonts w:ascii="Times New Roman" w:hAnsi="Times New Roman"/>
          <w:sz w:val="24"/>
          <w:szCs w:val="24"/>
        </w:rPr>
        <w:t>деофшоризационные нормы, применяемые к налогоплательщикам физическим лицам;</w:t>
      </w:r>
      <w:r w:rsidR="008F0EFD" w:rsidRPr="008F0EFD">
        <w:rPr>
          <w:rFonts w:ascii="Times New Roman" w:hAnsi="Times New Roman"/>
          <w:sz w:val="24"/>
          <w:szCs w:val="24"/>
        </w:rPr>
        <w:t xml:space="preserve"> (6)</w:t>
      </w:r>
      <w:r w:rsidRPr="008F0EFD">
        <w:rPr>
          <w:rFonts w:ascii="Times New Roman" w:hAnsi="Times New Roman"/>
          <w:sz w:val="24"/>
          <w:szCs w:val="24"/>
        </w:rPr>
        <w:t> отдельные положения концепции налогового резидентства юридических лиц.</w:t>
      </w:r>
    </w:p>
    <w:p w:rsidR="008F0EFD" w:rsidRDefault="008F0EFD" w:rsidP="008F0EFD">
      <w:pPr>
        <w:spacing w:before="120" w:after="120"/>
        <w:jc w:val="both"/>
        <w:rPr>
          <w:rFonts w:ascii="Times New Roman" w:hAnsi="Times New Roman"/>
          <w:sz w:val="24"/>
          <w:szCs w:val="24"/>
        </w:rPr>
      </w:pPr>
      <w:r>
        <w:rPr>
          <w:rFonts w:ascii="Times New Roman" w:hAnsi="Times New Roman"/>
          <w:b/>
          <w:sz w:val="28"/>
          <w:szCs w:val="24"/>
        </w:rPr>
        <w:t>Повышение эффективности госкомпаний</w:t>
      </w:r>
    </w:p>
    <w:p w:rsidR="00D80D46" w:rsidRDefault="008F0EFD" w:rsidP="008F0EFD">
      <w:pPr>
        <w:spacing w:before="120" w:after="120"/>
        <w:jc w:val="both"/>
        <w:rPr>
          <w:rFonts w:ascii="Times New Roman" w:hAnsi="Times New Roman"/>
          <w:sz w:val="24"/>
          <w:szCs w:val="24"/>
        </w:rPr>
      </w:pPr>
      <w:r>
        <w:rPr>
          <w:rFonts w:ascii="Times New Roman" w:hAnsi="Times New Roman"/>
          <w:sz w:val="24"/>
          <w:szCs w:val="24"/>
        </w:rPr>
        <w:t xml:space="preserve">В 2017-2018 годах продолжилось </w:t>
      </w:r>
      <w:r w:rsidR="00D80D46">
        <w:rPr>
          <w:rFonts w:ascii="Times New Roman" w:hAnsi="Times New Roman"/>
          <w:sz w:val="24"/>
          <w:szCs w:val="24"/>
        </w:rPr>
        <w:t xml:space="preserve">поступательное </w:t>
      </w:r>
      <w:r>
        <w:rPr>
          <w:rFonts w:ascii="Times New Roman" w:hAnsi="Times New Roman"/>
          <w:sz w:val="24"/>
          <w:szCs w:val="24"/>
        </w:rPr>
        <w:t xml:space="preserve">увеличение возврата на акционерный капитал </w:t>
      </w:r>
      <w:r w:rsidRPr="008F0EFD">
        <w:rPr>
          <w:rFonts w:ascii="Times New Roman" w:hAnsi="Times New Roman"/>
          <w:sz w:val="24"/>
          <w:szCs w:val="24"/>
        </w:rPr>
        <w:t>компани</w:t>
      </w:r>
      <w:r>
        <w:rPr>
          <w:rFonts w:ascii="Times New Roman" w:hAnsi="Times New Roman"/>
          <w:sz w:val="24"/>
          <w:szCs w:val="24"/>
        </w:rPr>
        <w:t>й</w:t>
      </w:r>
      <w:r w:rsidRPr="008F0EFD">
        <w:rPr>
          <w:rFonts w:ascii="Times New Roman" w:hAnsi="Times New Roman"/>
          <w:sz w:val="24"/>
          <w:szCs w:val="24"/>
        </w:rPr>
        <w:t xml:space="preserve"> с государственным участием</w:t>
      </w:r>
      <w:r w:rsidR="00D80D46">
        <w:rPr>
          <w:rFonts w:ascii="Times New Roman" w:hAnsi="Times New Roman"/>
          <w:sz w:val="24"/>
          <w:szCs w:val="24"/>
        </w:rPr>
        <w:t xml:space="preserve">, что было обеспечено в том числе за счет распространения единых </w:t>
      </w:r>
      <w:r>
        <w:rPr>
          <w:rFonts w:ascii="Times New Roman" w:hAnsi="Times New Roman"/>
          <w:sz w:val="24"/>
          <w:szCs w:val="24"/>
        </w:rPr>
        <w:t>принцип</w:t>
      </w:r>
      <w:r w:rsidR="00D80D46">
        <w:rPr>
          <w:rFonts w:ascii="Times New Roman" w:hAnsi="Times New Roman"/>
          <w:sz w:val="24"/>
          <w:szCs w:val="24"/>
        </w:rPr>
        <w:t xml:space="preserve">ов дивидендной политики по определению </w:t>
      </w:r>
      <w:r w:rsidR="00D80D46" w:rsidRPr="00D80D46">
        <w:rPr>
          <w:rFonts w:ascii="Times New Roman" w:hAnsi="Times New Roman"/>
          <w:b/>
          <w:sz w:val="24"/>
          <w:szCs w:val="24"/>
        </w:rPr>
        <w:t>минимального норматива дивидендных выплат в размере 50% от чистой прибыли по МСФО</w:t>
      </w:r>
      <w:r w:rsidR="00D80D46">
        <w:rPr>
          <w:rFonts w:ascii="Times New Roman" w:hAnsi="Times New Roman"/>
          <w:sz w:val="24"/>
          <w:szCs w:val="24"/>
        </w:rPr>
        <w:t xml:space="preserve"> на все публичные гос</w:t>
      </w:r>
      <w:r w:rsidR="00D80D46" w:rsidRPr="00D80D46">
        <w:rPr>
          <w:rFonts w:ascii="Times New Roman" w:hAnsi="Times New Roman"/>
          <w:sz w:val="24"/>
          <w:szCs w:val="24"/>
        </w:rPr>
        <w:t>компани</w:t>
      </w:r>
      <w:r w:rsidR="00D80D46">
        <w:rPr>
          <w:rFonts w:ascii="Times New Roman" w:hAnsi="Times New Roman"/>
          <w:sz w:val="24"/>
          <w:szCs w:val="24"/>
        </w:rPr>
        <w:t>и.</w:t>
      </w:r>
    </w:p>
    <w:p w:rsidR="00D80D46" w:rsidRPr="00D80D46" w:rsidRDefault="00D80D46" w:rsidP="005F73D4">
      <w:pPr>
        <w:spacing w:before="120" w:after="120"/>
        <w:jc w:val="both"/>
        <w:rPr>
          <w:rFonts w:ascii="Times New Roman" w:hAnsi="Times New Roman"/>
          <w:sz w:val="24"/>
          <w:szCs w:val="24"/>
        </w:rPr>
      </w:pPr>
      <w:r>
        <w:rPr>
          <w:rFonts w:ascii="Times New Roman" w:hAnsi="Times New Roman"/>
          <w:sz w:val="24"/>
          <w:szCs w:val="24"/>
        </w:rPr>
        <w:t xml:space="preserve">По результатам деятельности публичных компаний </w:t>
      </w:r>
      <w:r w:rsidR="00436202" w:rsidRPr="008F0EFD">
        <w:rPr>
          <w:rFonts w:ascii="Times New Roman" w:hAnsi="Times New Roman"/>
          <w:sz w:val="24"/>
          <w:szCs w:val="24"/>
        </w:rPr>
        <w:t>с государственным участием</w:t>
      </w:r>
      <w:r w:rsidR="00436202">
        <w:rPr>
          <w:rFonts w:ascii="Times New Roman" w:hAnsi="Times New Roman"/>
          <w:sz w:val="24"/>
          <w:szCs w:val="24"/>
        </w:rPr>
        <w:t xml:space="preserve"> </w:t>
      </w:r>
      <w:r>
        <w:rPr>
          <w:rFonts w:ascii="Times New Roman" w:hAnsi="Times New Roman"/>
          <w:sz w:val="24"/>
          <w:szCs w:val="24"/>
        </w:rPr>
        <w:t>за 2017 год большинство из них</w:t>
      </w:r>
      <w:r w:rsidR="00436202">
        <w:rPr>
          <w:rFonts w:ascii="Times New Roman" w:hAnsi="Times New Roman"/>
          <w:sz w:val="24"/>
          <w:szCs w:val="24"/>
        </w:rPr>
        <w:t xml:space="preserve"> (кроме ПАО Россети, ПАО Интер РАО, ОАО РЖД и ПАО Газпром) </w:t>
      </w:r>
      <w:r w:rsidR="00F653BD">
        <w:rPr>
          <w:rFonts w:ascii="Times New Roman" w:hAnsi="Times New Roman"/>
          <w:sz w:val="24"/>
          <w:szCs w:val="24"/>
        </w:rPr>
        <w:t xml:space="preserve">приняли решения </w:t>
      </w:r>
      <w:r>
        <w:rPr>
          <w:rFonts w:ascii="Times New Roman" w:hAnsi="Times New Roman"/>
          <w:sz w:val="24"/>
          <w:szCs w:val="24"/>
        </w:rPr>
        <w:t>о выплате дивидендов в размерах соответствующих минимальному нормативу</w:t>
      </w:r>
      <w:r w:rsidR="00436202">
        <w:rPr>
          <w:rFonts w:ascii="Times New Roman" w:hAnsi="Times New Roman"/>
          <w:sz w:val="24"/>
          <w:szCs w:val="24"/>
        </w:rPr>
        <w:t xml:space="preserve"> (либо приняли решение о постепенном приведении дивидендной политики в соответствие с едиными принципами – как ПАО Сбербанк)</w:t>
      </w:r>
      <w:r>
        <w:rPr>
          <w:rFonts w:ascii="Times New Roman" w:hAnsi="Times New Roman"/>
          <w:sz w:val="24"/>
          <w:szCs w:val="24"/>
        </w:rPr>
        <w:t xml:space="preserve">, что </w:t>
      </w:r>
      <w:r w:rsidR="005F73D4">
        <w:rPr>
          <w:rFonts w:ascii="Times New Roman" w:hAnsi="Times New Roman"/>
          <w:sz w:val="24"/>
          <w:szCs w:val="24"/>
        </w:rPr>
        <w:t xml:space="preserve">с одной стороны </w:t>
      </w:r>
      <w:r>
        <w:rPr>
          <w:rFonts w:ascii="Times New Roman" w:hAnsi="Times New Roman"/>
          <w:sz w:val="24"/>
          <w:szCs w:val="24"/>
        </w:rPr>
        <w:t>обеспечи</w:t>
      </w:r>
      <w:r w:rsidR="005F73D4">
        <w:rPr>
          <w:rFonts w:ascii="Times New Roman" w:hAnsi="Times New Roman"/>
          <w:sz w:val="24"/>
          <w:szCs w:val="24"/>
        </w:rPr>
        <w:t>ло</w:t>
      </w:r>
      <w:r>
        <w:rPr>
          <w:rFonts w:ascii="Times New Roman" w:hAnsi="Times New Roman"/>
          <w:sz w:val="24"/>
          <w:szCs w:val="24"/>
        </w:rPr>
        <w:t xml:space="preserve"> поступление дополнительных доходов </w:t>
      </w:r>
      <w:r w:rsidR="005F73D4">
        <w:rPr>
          <w:rFonts w:ascii="Times New Roman" w:hAnsi="Times New Roman"/>
          <w:sz w:val="24"/>
          <w:szCs w:val="24"/>
        </w:rPr>
        <w:t xml:space="preserve">в федеральный бюджет, а с другой стороны </w:t>
      </w:r>
      <w:r w:rsidR="00436202">
        <w:rPr>
          <w:rFonts w:ascii="Times New Roman" w:hAnsi="Times New Roman"/>
          <w:sz w:val="24"/>
          <w:szCs w:val="24"/>
        </w:rPr>
        <w:t>способств</w:t>
      </w:r>
      <w:r w:rsidR="005F73D4">
        <w:rPr>
          <w:rFonts w:ascii="Times New Roman" w:hAnsi="Times New Roman"/>
          <w:sz w:val="24"/>
          <w:szCs w:val="24"/>
        </w:rPr>
        <w:t>овало</w:t>
      </w:r>
      <w:r w:rsidR="00436202">
        <w:rPr>
          <w:rFonts w:ascii="Times New Roman" w:hAnsi="Times New Roman"/>
          <w:sz w:val="24"/>
          <w:szCs w:val="24"/>
        </w:rPr>
        <w:t xml:space="preserve"> улучшению качества</w:t>
      </w:r>
      <w:r w:rsidRPr="00D80D46">
        <w:rPr>
          <w:rFonts w:ascii="Times New Roman" w:hAnsi="Times New Roman"/>
          <w:sz w:val="24"/>
          <w:szCs w:val="24"/>
        </w:rPr>
        <w:t xml:space="preserve"> инвестиционных проектов</w:t>
      </w:r>
      <w:r w:rsidR="00436202">
        <w:rPr>
          <w:rFonts w:ascii="Times New Roman" w:hAnsi="Times New Roman"/>
          <w:sz w:val="24"/>
          <w:szCs w:val="24"/>
        </w:rPr>
        <w:t xml:space="preserve"> </w:t>
      </w:r>
      <w:r w:rsidR="005F73D4">
        <w:rPr>
          <w:rFonts w:ascii="Times New Roman" w:hAnsi="Times New Roman"/>
          <w:sz w:val="24"/>
          <w:szCs w:val="24"/>
        </w:rPr>
        <w:t>и создавало стимулы к повышению операционной эффективности</w:t>
      </w:r>
      <w:r w:rsidR="00436202">
        <w:rPr>
          <w:rFonts w:ascii="Times New Roman" w:hAnsi="Times New Roman"/>
          <w:sz w:val="24"/>
          <w:szCs w:val="24"/>
        </w:rPr>
        <w:t>.</w:t>
      </w:r>
      <w:r w:rsidR="005F73D4">
        <w:rPr>
          <w:rFonts w:ascii="Times New Roman" w:hAnsi="Times New Roman"/>
          <w:sz w:val="24"/>
          <w:szCs w:val="24"/>
        </w:rPr>
        <w:t xml:space="preserve"> </w:t>
      </w:r>
    </w:p>
    <w:p w:rsidR="00D80D46" w:rsidRPr="00BD56A5" w:rsidRDefault="005F73D4" w:rsidP="00BD56A5">
      <w:pPr>
        <w:spacing w:before="120" w:after="120"/>
        <w:jc w:val="both"/>
        <w:rPr>
          <w:rFonts w:ascii="Times New Roman" w:hAnsi="Times New Roman"/>
          <w:sz w:val="24"/>
          <w:szCs w:val="24"/>
        </w:rPr>
      </w:pPr>
      <w:r>
        <w:rPr>
          <w:rFonts w:ascii="Times New Roman" w:hAnsi="Times New Roman"/>
          <w:sz w:val="24"/>
          <w:szCs w:val="24"/>
        </w:rPr>
        <w:t xml:space="preserve">В будущем ожидается дальнейшее распространение единых принципов дивидендной политики на все публичные компании с государственным участием. Кроме того, в целях повышения эффективности компаний </w:t>
      </w:r>
      <w:r w:rsidR="00BD56A5">
        <w:rPr>
          <w:rFonts w:ascii="Times New Roman" w:hAnsi="Times New Roman"/>
          <w:sz w:val="24"/>
          <w:szCs w:val="24"/>
        </w:rPr>
        <w:t xml:space="preserve">с государственным участием, а также обеспечения долгосрочной </w:t>
      </w:r>
      <w:r w:rsidR="00BD56A5" w:rsidRPr="00BD56A5">
        <w:rPr>
          <w:rFonts w:ascii="Times New Roman" w:hAnsi="Times New Roman"/>
          <w:sz w:val="24"/>
          <w:szCs w:val="24"/>
        </w:rPr>
        <w:t xml:space="preserve">устойчивости государственных финансов </w:t>
      </w:r>
      <w:r w:rsidR="00BD56A5">
        <w:rPr>
          <w:rFonts w:ascii="Times New Roman" w:hAnsi="Times New Roman"/>
          <w:sz w:val="24"/>
          <w:szCs w:val="24"/>
        </w:rPr>
        <w:t xml:space="preserve">в рамках задачи по отражению </w:t>
      </w:r>
      <w:r w:rsidR="00BD56A5" w:rsidRPr="00BD56A5">
        <w:rPr>
          <w:rFonts w:ascii="Times New Roman" w:hAnsi="Times New Roman"/>
          <w:sz w:val="24"/>
          <w:szCs w:val="24"/>
        </w:rPr>
        <w:t xml:space="preserve">неявных бюджетных обязательств и учету связанных с ними бюджетных </w:t>
      </w:r>
      <w:r w:rsidR="00BD56A5" w:rsidRPr="00BD56A5">
        <w:rPr>
          <w:rFonts w:ascii="Times New Roman" w:hAnsi="Times New Roman"/>
          <w:sz w:val="24"/>
          <w:szCs w:val="24"/>
        </w:rPr>
        <w:lastRenderedPageBreak/>
        <w:t>рисков</w:t>
      </w:r>
      <w:r w:rsidR="00BD56A5">
        <w:rPr>
          <w:rFonts w:ascii="Times New Roman" w:hAnsi="Times New Roman"/>
          <w:sz w:val="24"/>
          <w:szCs w:val="24"/>
        </w:rPr>
        <w:t xml:space="preserve"> предполагается разработать </w:t>
      </w:r>
      <w:r w:rsidR="00BD56A5" w:rsidRPr="00BD56A5">
        <w:rPr>
          <w:rFonts w:ascii="Times New Roman" w:hAnsi="Times New Roman"/>
          <w:b/>
          <w:sz w:val="24"/>
          <w:szCs w:val="24"/>
        </w:rPr>
        <w:t>единые принципы долговой политики</w:t>
      </w:r>
      <w:r w:rsidR="00BD56A5">
        <w:rPr>
          <w:rFonts w:ascii="Times New Roman" w:hAnsi="Times New Roman"/>
          <w:sz w:val="24"/>
          <w:szCs w:val="24"/>
        </w:rPr>
        <w:t xml:space="preserve"> компаний с государственным участием.</w:t>
      </w:r>
    </w:p>
    <w:p w:rsidR="00BD56A5" w:rsidRDefault="00BD56A5" w:rsidP="00BD56A5">
      <w:pPr>
        <w:spacing w:before="120" w:after="120"/>
        <w:jc w:val="both"/>
        <w:rPr>
          <w:rFonts w:ascii="Times New Roman" w:hAnsi="Times New Roman"/>
          <w:sz w:val="24"/>
          <w:szCs w:val="24"/>
        </w:rPr>
      </w:pPr>
      <w:r w:rsidRPr="00BD56A5">
        <w:rPr>
          <w:rFonts w:ascii="Times New Roman" w:hAnsi="Times New Roman"/>
          <w:b/>
          <w:sz w:val="28"/>
          <w:szCs w:val="24"/>
        </w:rPr>
        <w:t>Стимулирование инвестиционной активности</w:t>
      </w:r>
    </w:p>
    <w:p w:rsidR="00BD56A5" w:rsidRPr="00BD56A5" w:rsidRDefault="00BD56A5" w:rsidP="00BD56A5">
      <w:pPr>
        <w:spacing w:before="120" w:after="120"/>
        <w:jc w:val="both"/>
        <w:rPr>
          <w:rFonts w:ascii="Times New Roman" w:hAnsi="Times New Roman"/>
          <w:sz w:val="24"/>
          <w:szCs w:val="24"/>
        </w:rPr>
      </w:pPr>
      <w:r w:rsidRPr="00BD56A5">
        <w:rPr>
          <w:rFonts w:ascii="Times New Roman" w:hAnsi="Times New Roman"/>
          <w:sz w:val="24"/>
          <w:szCs w:val="24"/>
        </w:rPr>
        <w:t>В 2017 году в целях создания стимулов к расширению инвестиционных корпоративных программ на восстановительной фазе экономического цикла были приняты следующие меры:</w:t>
      </w:r>
    </w:p>
    <w:p w:rsidR="00BD56A5" w:rsidRPr="00BD56A5" w:rsidRDefault="00BD56A5" w:rsidP="006A22F2">
      <w:pPr>
        <w:pStyle w:val="aa"/>
        <w:numPr>
          <w:ilvl w:val="0"/>
          <w:numId w:val="9"/>
        </w:numPr>
        <w:spacing w:before="120" w:after="60"/>
        <w:ind w:left="357" w:hanging="357"/>
        <w:contextualSpacing w:val="0"/>
        <w:jc w:val="both"/>
        <w:rPr>
          <w:rFonts w:ascii="Times New Roman" w:hAnsi="Times New Roman"/>
          <w:sz w:val="24"/>
          <w:szCs w:val="24"/>
        </w:rPr>
      </w:pPr>
      <w:r>
        <w:rPr>
          <w:rFonts w:ascii="Times New Roman" w:hAnsi="Times New Roman"/>
          <w:sz w:val="24"/>
          <w:szCs w:val="24"/>
        </w:rPr>
        <w:t>В</w:t>
      </w:r>
      <w:r w:rsidRPr="00BD56A5">
        <w:rPr>
          <w:rFonts w:ascii="Times New Roman" w:hAnsi="Times New Roman"/>
          <w:sz w:val="24"/>
          <w:szCs w:val="24"/>
        </w:rPr>
        <w:t xml:space="preserve">веден </w:t>
      </w:r>
      <w:r w:rsidRPr="00BD56A5">
        <w:rPr>
          <w:rFonts w:ascii="Times New Roman" w:hAnsi="Times New Roman"/>
          <w:b/>
          <w:sz w:val="24"/>
          <w:szCs w:val="24"/>
        </w:rPr>
        <w:t>инвестиционный налоговый вычет</w:t>
      </w:r>
      <w:r w:rsidRPr="00BD56A5">
        <w:rPr>
          <w:rFonts w:ascii="Times New Roman" w:hAnsi="Times New Roman"/>
          <w:sz w:val="24"/>
          <w:szCs w:val="24"/>
        </w:rPr>
        <w:t>, который предполагает, что налогоплательщикам на период до 31 декабря 2027 года включительно предоставлено право уменьшать исчисленную сумму налога на прибыль организаций на сумму расходов, связанных с приобретением (созданием) или модернизацией (реконструкцией) объектов основных средств;</w:t>
      </w:r>
    </w:p>
    <w:p w:rsidR="0094040E" w:rsidRPr="00BD56A5" w:rsidRDefault="00BD56A5" w:rsidP="006A22F2">
      <w:pPr>
        <w:pStyle w:val="aa"/>
        <w:numPr>
          <w:ilvl w:val="0"/>
          <w:numId w:val="9"/>
        </w:numPr>
        <w:spacing w:before="120" w:after="60"/>
        <w:ind w:left="357" w:hanging="357"/>
        <w:contextualSpacing w:val="0"/>
        <w:jc w:val="both"/>
        <w:rPr>
          <w:rFonts w:ascii="Times New Roman" w:hAnsi="Times New Roman"/>
          <w:sz w:val="24"/>
          <w:szCs w:val="24"/>
        </w:rPr>
      </w:pPr>
      <w:r>
        <w:rPr>
          <w:rFonts w:ascii="Times New Roman" w:hAnsi="Times New Roman"/>
          <w:sz w:val="24"/>
          <w:szCs w:val="24"/>
        </w:rPr>
        <w:t>С</w:t>
      </w:r>
      <w:r w:rsidRPr="00BD56A5">
        <w:rPr>
          <w:rFonts w:ascii="Times New Roman" w:hAnsi="Times New Roman"/>
          <w:sz w:val="24"/>
          <w:szCs w:val="24"/>
        </w:rPr>
        <w:t xml:space="preserve">убъектам Российской Федерации предоставлено право принимать решение о предоставлении на своей территории </w:t>
      </w:r>
      <w:r w:rsidRPr="00BD56A5">
        <w:rPr>
          <w:rFonts w:ascii="Times New Roman" w:hAnsi="Times New Roman"/>
          <w:b/>
          <w:sz w:val="24"/>
          <w:szCs w:val="24"/>
        </w:rPr>
        <w:t>налоговых льгот по налогу на имущество организаций</w:t>
      </w:r>
      <w:r w:rsidRPr="00BD56A5">
        <w:rPr>
          <w:rFonts w:ascii="Times New Roman" w:hAnsi="Times New Roman"/>
          <w:sz w:val="24"/>
          <w:szCs w:val="24"/>
        </w:rPr>
        <w:t xml:space="preserve"> в отношении движимого имущества и имущества, используемого при осуществлении деятельности по разработке морских месторождений углеводородного сырья в российской части (российском секторе) Каспийского моря.</w:t>
      </w:r>
    </w:p>
    <w:tbl>
      <w:tblPr>
        <w:tblStyle w:val="Smalltable"/>
        <w:tblW w:w="76" w:type="dxa"/>
        <w:tblInd w:w="-823" w:type="dxa"/>
        <w:tblLayout w:type="fixed"/>
        <w:tblLook w:val="04A0" w:firstRow="1" w:lastRow="0" w:firstColumn="1" w:lastColumn="0" w:noHBand="0" w:noVBand="1"/>
      </w:tblPr>
      <w:tblGrid>
        <w:gridCol w:w="76"/>
      </w:tblGrid>
      <w:tr w:rsidR="00BD56A5" w:rsidRPr="008823F8" w:rsidTr="00BD56A5">
        <w:trPr>
          <w:trHeight w:hRule="exact" w:val="28"/>
        </w:trPr>
        <w:tc>
          <w:tcPr>
            <w:tcW w:w="76" w:type="dxa"/>
            <w:shd w:val="clear" w:color="auto" w:fill="auto"/>
          </w:tcPr>
          <w:p w:rsidR="00BD56A5" w:rsidRDefault="00BD56A5" w:rsidP="00F738A8">
            <w:pPr>
              <w:rPr>
                <w:rFonts w:ascii="Times New Roman" w:hAnsi="Times New Roman"/>
                <w:lang w:val="ru-RU" w:bidi="ml-IN"/>
              </w:rPr>
            </w:pPr>
          </w:p>
          <w:p w:rsidR="00BD56A5" w:rsidRPr="006F0FD8" w:rsidRDefault="00BD56A5" w:rsidP="00F738A8">
            <w:pPr>
              <w:rPr>
                <w:rFonts w:ascii="Times New Roman" w:hAnsi="Times New Roman"/>
                <w:lang w:val="ru-RU" w:bidi="ml-IN"/>
              </w:rPr>
            </w:pPr>
          </w:p>
        </w:tc>
      </w:tr>
    </w:tbl>
    <w:p w:rsidR="004E2069" w:rsidRDefault="001A3A95" w:rsidP="008C722E">
      <w:pPr>
        <w:pStyle w:val="20"/>
        <w:numPr>
          <w:ilvl w:val="1"/>
          <w:numId w:val="3"/>
        </w:numPr>
        <w:spacing w:before="120" w:after="120"/>
        <w:rPr>
          <w:rFonts w:ascii="Times New Roman" w:hAnsi="Times New Roman"/>
          <w:sz w:val="28"/>
          <w:szCs w:val="28"/>
        </w:rPr>
      </w:pPr>
      <w:bookmarkStart w:id="11" w:name="_Toc518648646"/>
      <w:r>
        <w:rPr>
          <w:rFonts w:ascii="Times New Roman" w:hAnsi="Times New Roman"/>
          <w:sz w:val="28"/>
          <w:szCs w:val="28"/>
        </w:rPr>
        <w:t>РАЗВИТИЕ МЕЖБЮДЖЕТНЫХ ОТНОШЕНИЙ</w:t>
      </w:r>
      <w:bookmarkEnd w:id="11"/>
    </w:p>
    <w:p w:rsidR="00BD56A5" w:rsidRPr="00BD56A5" w:rsidRDefault="00BD56A5" w:rsidP="008C722E">
      <w:pPr>
        <w:spacing w:after="120"/>
        <w:jc w:val="both"/>
        <w:rPr>
          <w:rFonts w:ascii="Times New Roman" w:hAnsi="Times New Roman"/>
          <w:sz w:val="24"/>
        </w:rPr>
      </w:pPr>
      <w:r w:rsidRPr="00BD56A5">
        <w:rPr>
          <w:rFonts w:ascii="Times New Roman" w:hAnsi="Times New Roman"/>
          <w:sz w:val="24"/>
        </w:rPr>
        <w:t>В 2017 году межбюджетное регулирование со стороны федерального бюджета осуществлялось в целях снижения дифференциации регионов и муниципальных образований по уровню и темпам социально-экономического развития, обеспечения сбалансированности региональных и местных бюджетов за счет бюджетной консолидации и принятия мер по ограничению роста государственного долга.</w:t>
      </w:r>
    </w:p>
    <w:tbl>
      <w:tblPr>
        <w:tblStyle w:val="Smalltable"/>
        <w:tblW w:w="11591" w:type="dxa"/>
        <w:tblInd w:w="-823" w:type="dxa"/>
        <w:tblLook w:val="04A0" w:firstRow="1" w:lastRow="0" w:firstColumn="1" w:lastColumn="0" w:noHBand="0" w:noVBand="1"/>
      </w:tblPr>
      <w:tblGrid>
        <w:gridCol w:w="5286"/>
        <w:gridCol w:w="222"/>
        <w:gridCol w:w="5406"/>
        <w:gridCol w:w="677"/>
      </w:tblGrid>
      <w:tr w:rsidR="001A3A95" w:rsidRPr="008823F8" w:rsidTr="003B61C6">
        <w:trPr>
          <w:gridAfter w:val="1"/>
          <w:wAfter w:w="677" w:type="dxa"/>
          <w:trHeight w:val="198"/>
        </w:trPr>
        <w:tc>
          <w:tcPr>
            <w:tcW w:w="5286" w:type="dxa"/>
            <w:shd w:val="clear" w:color="auto" w:fill="auto"/>
          </w:tcPr>
          <w:p w:rsidR="001A3A95" w:rsidRPr="0094040E" w:rsidRDefault="001A3A95" w:rsidP="00823010">
            <w:pPr>
              <w:suppressAutoHyphens/>
              <w:spacing w:before="120" w:after="40"/>
              <w:rPr>
                <w:rFonts w:ascii="Times New Roman" w:hAnsi="Times New Roman"/>
                <w:b/>
                <w:sz w:val="24"/>
                <w:szCs w:val="24"/>
                <w:lang w:val="ru-RU" w:bidi="ml-IN"/>
              </w:rPr>
            </w:pPr>
            <w:r w:rsidRPr="0094040E">
              <w:rPr>
                <w:rFonts w:ascii="Times New Roman" w:hAnsi="Times New Roman"/>
                <w:b/>
                <w:sz w:val="24"/>
                <w:szCs w:val="24"/>
                <w:lang w:val="ru-RU" w:bidi="ml-IN"/>
              </w:rPr>
              <w:t xml:space="preserve">Дефицит бюджетов </w:t>
            </w:r>
            <w:r>
              <w:rPr>
                <w:rFonts w:ascii="Times New Roman" w:hAnsi="Times New Roman"/>
                <w:b/>
                <w:sz w:val="24"/>
                <w:szCs w:val="24"/>
                <w:lang w:val="ru-RU" w:bidi="ml-IN"/>
              </w:rPr>
              <w:t>субъектов</w:t>
            </w:r>
          </w:p>
        </w:tc>
        <w:tc>
          <w:tcPr>
            <w:tcW w:w="222" w:type="dxa"/>
            <w:shd w:val="clear" w:color="auto" w:fill="auto"/>
          </w:tcPr>
          <w:p w:rsidR="001A3A95" w:rsidRPr="008823F8" w:rsidRDefault="001A3A95" w:rsidP="00823010">
            <w:pPr>
              <w:suppressAutoHyphens/>
              <w:spacing w:before="120" w:after="40"/>
              <w:rPr>
                <w:rFonts w:ascii="Times New Roman" w:hAnsi="Times New Roman"/>
                <w:sz w:val="24"/>
                <w:szCs w:val="24"/>
                <w:lang w:val="ru-RU" w:bidi="ml-IN"/>
              </w:rPr>
            </w:pPr>
          </w:p>
        </w:tc>
        <w:tc>
          <w:tcPr>
            <w:tcW w:w="5406" w:type="dxa"/>
            <w:shd w:val="clear" w:color="auto" w:fill="auto"/>
          </w:tcPr>
          <w:p w:rsidR="001A3A95" w:rsidRPr="008823F8" w:rsidRDefault="001A3A95" w:rsidP="00823010">
            <w:pPr>
              <w:suppressAutoHyphens/>
              <w:spacing w:before="120" w:after="40"/>
              <w:rPr>
                <w:rFonts w:ascii="Times New Roman" w:hAnsi="Times New Roman"/>
                <w:b/>
                <w:sz w:val="24"/>
                <w:szCs w:val="24"/>
                <w:lang w:val="ru-RU" w:bidi="ml-IN"/>
              </w:rPr>
            </w:pPr>
            <w:r>
              <w:rPr>
                <w:rFonts w:ascii="Times New Roman" w:hAnsi="Times New Roman"/>
                <w:b/>
                <w:sz w:val="24"/>
                <w:szCs w:val="24"/>
                <w:lang w:val="ru-RU" w:bidi="ml-IN"/>
              </w:rPr>
              <w:t>Д</w:t>
            </w:r>
            <w:r w:rsidRPr="0094040E">
              <w:rPr>
                <w:rFonts w:ascii="Times New Roman" w:hAnsi="Times New Roman"/>
                <w:b/>
                <w:sz w:val="24"/>
                <w:szCs w:val="24"/>
                <w:lang w:val="ru-RU" w:bidi="ml-IN"/>
              </w:rPr>
              <w:t>олг</w:t>
            </w:r>
            <w:r>
              <w:rPr>
                <w:rFonts w:ascii="Times New Roman" w:hAnsi="Times New Roman"/>
                <w:b/>
                <w:sz w:val="24"/>
                <w:szCs w:val="24"/>
                <w:lang w:val="ru-RU" w:bidi="ml-IN"/>
              </w:rPr>
              <w:t>овая нагрузка субъектов</w:t>
            </w:r>
          </w:p>
        </w:tc>
      </w:tr>
      <w:tr w:rsidR="001A3A95" w:rsidRPr="008823F8" w:rsidTr="003B61C6">
        <w:trPr>
          <w:trHeight w:hRule="exact" w:val="28"/>
        </w:trPr>
        <w:tc>
          <w:tcPr>
            <w:tcW w:w="5286" w:type="dxa"/>
            <w:tcBorders>
              <w:bottom w:val="single" w:sz="4" w:space="0" w:color="auto"/>
            </w:tcBorders>
            <w:shd w:val="clear" w:color="auto" w:fill="auto"/>
          </w:tcPr>
          <w:p w:rsidR="001A3A95" w:rsidRPr="006F0FD8" w:rsidRDefault="001A3A95" w:rsidP="00823010">
            <w:pPr>
              <w:rPr>
                <w:rFonts w:ascii="Times New Roman" w:hAnsi="Times New Roman"/>
                <w:lang w:val="ru-RU" w:bidi="ml-IN"/>
              </w:rPr>
            </w:pPr>
          </w:p>
        </w:tc>
        <w:tc>
          <w:tcPr>
            <w:tcW w:w="222" w:type="dxa"/>
            <w:shd w:val="clear" w:color="auto" w:fill="auto"/>
          </w:tcPr>
          <w:p w:rsidR="001A3A95" w:rsidRPr="006F0FD8" w:rsidRDefault="001A3A95" w:rsidP="00823010">
            <w:pPr>
              <w:rPr>
                <w:rFonts w:ascii="Times New Roman" w:hAnsi="Times New Roman"/>
                <w:lang w:val="ru-RU" w:bidi="ml-IN"/>
              </w:rPr>
            </w:pPr>
          </w:p>
        </w:tc>
        <w:tc>
          <w:tcPr>
            <w:tcW w:w="5406" w:type="dxa"/>
            <w:tcBorders>
              <w:bottom w:val="single" w:sz="4" w:space="0" w:color="auto"/>
            </w:tcBorders>
            <w:shd w:val="clear" w:color="auto" w:fill="auto"/>
          </w:tcPr>
          <w:p w:rsidR="001A3A95" w:rsidRPr="006F0FD8" w:rsidRDefault="001A3A95" w:rsidP="00823010">
            <w:pPr>
              <w:rPr>
                <w:rFonts w:ascii="Times New Roman" w:hAnsi="Times New Roman"/>
                <w:lang w:val="ru-RU" w:bidi="ml-IN"/>
              </w:rPr>
            </w:pPr>
          </w:p>
        </w:tc>
        <w:tc>
          <w:tcPr>
            <w:tcW w:w="677" w:type="dxa"/>
            <w:shd w:val="clear" w:color="auto" w:fill="auto"/>
          </w:tcPr>
          <w:p w:rsidR="001A3A95" w:rsidRPr="006F0FD8" w:rsidRDefault="001A3A95" w:rsidP="00823010">
            <w:pPr>
              <w:rPr>
                <w:rFonts w:ascii="Times New Roman" w:hAnsi="Times New Roman"/>
                <w:lang w:val="ru-RU" w:bidi="ml-IN"/>
              </w:rPr>
            </w:pPr>
          </w:p>
        </w:tc>
      </w:tr>
      <w:tr w:rsidR="001A3A95" w:rsidRPr="008823F8" w:rsidTr="003B61C6">
        <w:tblPrEx>
          <w:tblCellMar>
            <w:left w:w="108" w:type="dxa"/>
            <w:right w:w="108" w:type="dxa"/>
          </w:tblCellMar>
        </w:tblPrEx>
        <w:trPr>
          <w:gridAfter w:val="1"/>
          <w:wAfter w:w="677" w:type="dxa"/>
          <w:trHeight w:val="2200"/>
        </w:trPr>
        <w:tc>
          <w:tcPr>
            <w:tcW w:w="5286" w:type="dxa"/>
            <w:tcBorders>
              <w:top w:val="single" w:sz="4" w:space="0" w:color="auto"/>
              <w:bottom w:val="single" w:sz="4" w:space="0" w:color="auto"/>
            </w:tcBorders>
            <w:shd w:val="clear" w:color="auto" w:fill="auto"/>
            <w:tcMar>
              <w:left w:w="0" w:type="nil"/>
              <w:right w:w="0" w:type="nil"/>
            </w:tcMar>
            <w:vAlign w:val="center"/>
          </w:tcPr>
          <w:p w:rsidR="001A3A95" w:rsidRPr="0094040E" w:rsidRDefault="001A3A95" w:rsidP="00823010">
            <w:pPr>
              <w:jc w:val="center"/>
              <w:rPr>
                <w:rFonts w:ascii="Times New Roman" w:hAnsi="Times New Roman"/>
                <w:lang w:val="ru-RU" w:bidi="ml-IN"/>
              </w:rPr>
            </w:pPr>
            <w:r w:rsidRPr="00C75DB0">
              <w:rPr>
                <w:noProof/>
                <w:lang w:eastAsia="ru-RU"/>
              </w:rPr>
              <w:drawing>
                <wp:inline distT="0" distB="0" distL="0" distR="0" wp14:anchorId="08F4E3D9" wp14:editId="35D5A68B">
                  <wp:extent cx="3219450" cy="2814452"/>
                  <wp:effectExtent l="0" t="0" r="0" b="5080"/>
                  <wp:docPr id="10" name="Диаграмма 1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C94E067-9605-4386-AD73-4B2611B4BB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222" w:type="dxa"/>
            <w:shd w:val="clear" w:color="auto" w:fill="auto"/>
            <w:tcMar>
              <w:left w:w="0" w:type="nil"/>
              <w:right w:w="0" w:type="nil"/>
            </w:tcMar>
          </w:tcPr>
          <w:p w:rsidR="001A3A95" w:rsidRPr="0094040E" w:rsidRDefault="001A3A95" w:rsidP="00823010">
            <w:pPr>
              <w:rPr>
                <w:rFonts w:ascii="Times New Roman" w:hAnsi="Times New Roman"/>
                <w:lang w:val="ru-RU" w:bidi="ml-IN"/>
              </w:rPr>
            </w:pPr>
          </w:p>
        </w:tc>
        <w:tc>
          <w:tcPr>
            <w:tcW w:w="5406" w:type="dxa"/>
            <w:tcBorders>
              <w:top w:val="single" w:sz="4" w:space="0" w:color="auto"/>
              <w:bottom w:val="single" w:sz="4" w:space="0" w:color="auto"/>
            </w:tcBorders>
            <w:shd w:val="clear" w:color="auto" w:fill="auto"/>
            <w:tcMar>
              <w:left w:w="0" w:type="nil"/>
              <w:right w:w="0" w:type="nil"/>
            </w:tcMar>
            <w:vAlign w:val="center"/>
          </w:tcPr>
          <w:p w:rsidR="001A3A95" w:rsidRPr="0094040E" w:rsidRDefault="001A3A95" w:rsidP="00823010">
            <w:pPr>
              <w:jc w:val="center"/>
              <w:rPr>
                <w:rFonts w:ascii="Times New Roman" w:hAnsi="Times New Roman"/>
                <w:lang w:val="ru-RU" w:bidi="ml-IN"/>
              </w:rPr>
            </w:pPr>
            <w:r w:rsidRPr="00C75DB0">
              <w:rPr>
                <w:noProof/>
                <w:lang w:eastAsia="ru-RU"/>
              </w:rPr>
              <w:drawing>
                <wp:inline distT="0" distB="0" distL="0" distR="0" wp14:anchorId="6062EA80" wp14:editId="4DCB1FB1">
                  <wp:extent cx="3295650" cy="2847975"/>
                  <wp:effectExtent l="0" t="0" r="0" b="0"/>
                  <wp:docPr id="26" name="Диаграмма 2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98E6DE6-EB89-4B42-AE60-9EA4A19724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1A3A95" w:rsidRPr="008823F8" w:rsidTr="003B61C6">
        <w:trPr>
          <w:gridAfter w:val="1"/>
          <w:wAfter w:w="677" w:type="dxa"/>
          <w:trHeight w:val="198"/>
        </w:trPr>
        <w:tc>
          <w:tcPr>
            <w:tcW w:w="5286" w:type="dxa"/>
            <w:tcBorders>
              <w:top w:val="single" w:sz="4" w:space="0" w:color="auto"/>
            </w:tcBorders>
            <w:shd w:val="clear" w:color="auto" w:fill="auto"/>
          </w:tcPr>
          <w:p w:rsidR="001A3A95" w:rsidRPr="006F0FD8" w:rsidRDefault="001A3A95" w:rsidP="00823010">
            <w:pPr>
              <w:suppressAutoHyphens/>
              <w:spacing w:after="240" w:line="160" w:lineRule="atLeast"/>
              <w:rPr>
                <w:rFonts w:ascii="Times New Roman" w:hAnsi="Times New Roman"/>
                <w:i/>
                <w:sz w:val="14"/>
                <w:szCs w:val="14"/>
                <w:lang w:val="ru-RU" w:bidi="ml-IN"/>
              </w:rPr>
            </w:pPr>
            <w:r w:rsidRPr="006F0FD8">
              <w:rPr>
                <w:rFonts w:ascii="Times New Roman" w:hAnsi="Times New Roman"/>
                <w:i/>
                <w:sz w:val="14"/>
                <w:szCs w:val="14"/>
                <w:lang w:val="ru-RU" w:bidi="ml-IN"/>
              </w:rPr>
              <w:t>Источник:</w:t>
            </w:r>
            <w:r w:rsidRPr="006F0FD8">
              <w:rPr>
                <w:rFonts w:ascii="Times New Roman" w:hAnsi="Times New Roman"/>
                <w:i/>
                <w:sz w:val="14"/>
                <w:szCs w:val="14"/>
                <w:lang w:val="en-GB" w:bidi="ml-IN"/>
              </w:rPr>
              <w:t> </w:t>
            </w:r>
            <w:r>
              <w:rPr>
                <w:rFonts w:ascii="Times New Roman" w:hAnsi="Times New Roman"/>
                <w:i/>
                <w:sz w:val="14"/>
                <w:szCs w:val="14"/>
                <w:lang w:val="ru-RU" w:bidi="ml-IN"/>
              </w:rPr>
              <w:t xml:space="preserve"> Федеральное Казначейство</w:t>
            </w:r>
          </w:p>
        </w:tc>
        <w:tc>
          <w:tcPr>
            <w:tcW w:w="222" w:type="dxa"/>
            <w:shd w:val="clear" w:color="auto" w:fill="auto"/>
          </w:tcPr>
          <w:p w:rsidR="001A3A95" w:rsidRPr="006F0FD8" w:rsidRDefault="001A3A95" w:rsidP="00823010">
            <w:pPr>
              <w:suppressAutoHyphens/>
              <w:spacing w:after="240" w:line="160" w:lineRule="atLeast"/>
              <w:rPr>
                <w:rFonts w:ascii="Times New Roman" w:hAnsi="Times New Roman"/>
                <w:sz w:val="14"/>
                <w:szCs w:val="14"/>
                <w:lang w:val="ru-RU" w:bidi="ml-IN"/>
              </w:rPr>
            </w:pPr>
          </w:p>
        </w:tc>
        <w:tc>
          <w:tcPr>
            <w:tcW w:w="5406" w:type="dxa"/>
            <w:tcBorders>
              <w:top w:val="single" w:sz="4" w:space="0" w:color="auto"/>
            </w:tcBorders>
            <w:shd w:val="clear" w:color="auto" w:fill="auto"/>
          </w:tcPr>
          <w:p w:rsidR="001A3A95" w:rsidRPr="006F0FD8" w:rsidRDefault="001A3A95" w:rsidP="00823010">
            <w:pPr>
              <w:suppressAutoHyphens/>
              <w:spacing w:after="240" w:line="160" w:lineRule="atLeast"/>
              <w:rPr>
                <w:rFonts w:ascii="Times New Roman" w:hAnsi="Times New Roman"/>
                <w:i/>
                <w:sz w:val="14"/>
                <w:szCs w:val="14"/>
                <w:lang w:bidi="ml-IN"/>
              </w:rPr>
            </w:pPr>
            <w:r w:rsidRPr="006F0FD8">
              <w:rPr>
                <w:rFonts w:ascii="Times New Roman" w:hAnsi="Times New Roman"/>
                <w:i/>
                <w:sz w:val="14"/>
                <w:szCs w:val="14"/>
                <w:lang w:val="ru-RU" w:bidi="ml-IN"/>
              </w:rPr>
              <w:t>Источник:</w:t>
            </w:r>
            <w:r w:rsidRPr="006F0FD8">
              <w:rPr>
                <w:rFonts w:ascii="Times New Roman" w:hAnsi="Times New Roman"/>
                <w:i/>
                <w:sz w:val="14"/>
                <w:szCs w:val="14"/>
                <w:lang w:val="en-GB" w:bidi="ml-IN"/>
              </w:rPr>
              <w:t> </w:t>
            </w:r>
            <w:r>
              <w:rPr>
                <w:rFonts w:ascii="Times New Roman" w:hAnsi="Times New Roman"/>
                <w:i/>
                <w:sz w:val="14"/>
                <w:szCs w:val="14"/>
                <w:lang w:val="ru-RU" w:bidi="ml-IN"/>
              </w:rPr>
              <w:t xml:space="preserve"> Федеральное Казначейство</w:t>
            </w:r>
          </w:p>
        </w:tc>
      </w:tr>
    </w:tbl>
    <w:p w:rsidR="003B61C6" w:rsidRDefault="003B61C6" w:rsidP="00BD56A5">
      <w:pPr>
        <w:jc w:val="both"/>
        <w:rPr>
          <w:rFonts w:ascii="Times New Roman" w:hAnsi="Times New Roman"/>
          <w:sz w:val="24"/>
        </w:rPr>
      </w:pPr>
      <w:r w:rsidRPr="00BD56A5">
        <w:rPr>
          <w:rFonts w:ascii="Times New Roman" w:hAnsi="Times New Roman"/>
          <w:sz w:val="24"/>
        </w:rPr>
        <w:lastRenderedPageBreak/>
        <w:t>В 2017 году уровень расчетной бюджетной обеспеченности по 10 наименее обеспеченным регионам составил 69,4 % от среднего по России, или 35,7 тыс. рублей на 1 человека в год. Предоставление в 2017 году из федерального бюджета дотаций на выравнивание бюджетной обеспеченности субъектов Российской Федерации способствовало сокращению различий в уровне расчетной бюджетной обеспеченности между 10 наиболее обеспеченными и 10 наименее обеспеченными регионами с 5,7 до 2,6 раз (или в 2,2 раза).</w:t>
      </w:r>
    </w:p>
    <w:p w:rsidR="00BD56A5" w:rsidRPr="00BD56A5" w:rsidRDefault="00BD56A5" w:rsidP="00BD56A5">
      <w:pPr>
        <w:jc w:val="both"/>
        <w:rPr>
          <w:rFonts w:ascii="Times New Roman" w:hAnsi="Times New Roman"/>
          <w:sz w:val="24"/>
        </w:rPr>
      </w:pPr>
      <w:r w:rsidRPr="00BD56A5">
        <w:rPr>
          <w:rFonts w:ascii="Times New Roman" w:hAnsi="Times New Roman"/>
          <w:sz w:val="24"/>
        </w:rPr>
        <w:t>В целях снижения долговой нагрузки бюджетов субъектов Российской Федерации в 2017 году проведена реструктуризация задолженности бюджетов субъектов Российской Федерации по бюджетным кредитам.</w:t>
      </w:r>
    </w:p>
    <w:p w:rsidR="00BD56A5" w:rsidRPr="00BD56A5" w:rsidRDefault="00BD56A5" w:rsidP="00BD56A5">
      <w:pPr>
        <w:jc w:val="both"/>
        <w:rPr>
          <w:rFonts w:ascii="Times New Roman" w:hAnsi="Times New Roman"/>
          <w:sz w:val="24"/>
        </w:rPr>
      </w:pPr>
      <w:r w:rsidRPr="00BD56A5">
        <w:rPr>
          <w:rFonts w:ascii="Times New Roman" w:hAnsi="Times New Roman"/>
          <w:sz w:val="24"/>
        </w:rPr>
        <w:t>На 7 лет продлен срок возврата бюджетных кредитов, предоставленных регионам в 2015-2017 годах, срок погашения которых наступает в 2018-2019 годах и в 2021-2022 годах. В случае обеспечения субъектом</w:t>
      </w:r>
      <w:r w:rsidR="00F653BD" w:rsidRPr="00F653BD">
        <w:rPr>
          <w:rFonts w:ascii="Times New Roman" w:hAnsi="Times New Roman"/>
          <w:sz w:val="24"/>
        </w:rPr>
        <w:t xml:space="preserve"> </w:t>
      </w:r>
      <w:r w:rsidR="00F653BD" w:rsidRPr="00BD56A5">
        <w:rPr>
          <w:rFonts w:ascii="Times New Roman" w:hAnsi="Times New Roman"/>
          <w:sz w:val="24"/>
        </w:rPr>
        <w:t>в 2018-2019 годах</w:t>
      </w:r>
      <w:r w:rsidRPr="00BD56A5">
        <w:rPr>
          <w:rFonts w:ascii="Times New Roman" w:hAnsi="Times New Roman"/>
          <w:sz w:val="24"/>
        </w:rPr>
        <w:t xml:space="preserve"> темпов роста налоговых и неналоговых доходов консолидированных бюджетов не ниже темпов инфляции, будет предусмотрено продление общего срока реструктуризации до 12 лет, до 2029 года.</w:t>
      </w:r>
    </w:p>
    <w:p w:rsidR="00BD56A5" w:rsidRPr="00BD56A5" w:rsidRDefault="00BD56A5" w:rsidP="00BD56A5">
      <w:pPr>
        <w:jc w:val="both"/>
        <w:rPr>
          <w:rFonts w:ascii="Times New Roman" w:hAnsi="Times New Roman"/>
          <w:sz w:val="24"/>
        </w:rPr>
      </w:pPr>
      <w:r w:rsidRPr="00BD56A5">
        <w:rPr>
          <w:rFonts w:ascii="Times New Roman" w:hAnsi="Times New Roman"/>
          <w:sz w:val="24"/>
        </w:rPr>
        <w:t>Это позволит субъектам Российской Федерации обеспечить равномерное погашение задолженности по бюджетным кредитам, снизить объемы возврата бюджетных кредитов, и высвободить средства для финансирования приоритетных расходных обязательств.</w:t>
      </w:r>
    </w:p>
    <w:p w:rsidR="00BD56A5" w:rsidRPr="00BD56A5" w:rsidRDefault="00BD56A5" w:rsidP="00BD56A5">
      <w:pPr>
        <w:jc w:val="both"/>
        <w:rPr>
          <w:rFonts w:ascii="Times New Roman" w:hAnsi="Times New Roman"/>
          <w:sz w:val="24"/>
        </w:rPr>
      </w:pPr>
      <w:r w:rsidRPr="00BD56A5">
        <w:rPr>
          <w:rFonts w:ascii="Times New Roman" w:hAnsi="Times New Roman"/>
          <w:sz w:val="24"/>
        </w:rPr>
        <w:t>Совместно с органами государственной власти субъектов Российской Федерации осуществлялась разработка программ финансового оздоровления субъектов Российской Федерации с высоким уровнем долговой нагрузки.</w:t>
      </w:r>
    </w:p>
    <w:p w:rsidR="00BD56A5" w:rsidRPr="00BD56A5" w:rsidRDefault="00BD56A5" w:rsidP="00BD56A5">
      <w:pPr>
        <w:jc w:val="both"/>
        <w:rPr>
          <w:rFonts w:ascii="Times New Roman" w:hAnsi="Times New Roman"/>
          <w:sz w:val="24"/>
        </w:rPr>
      </w:pPr>
      <w:r w:rsidRPr="00BD56A5">
        <w:rPr>
          <w:rFonts w:ascii="Times New Roman" w:hAnsi="Times New Roman"/>
          <w:sz w:val="24"/>
        </w:rPr>
        <w:t>На основании анализа данных реестров расходных обязательств субъектов Российской Федерации и сводов реестров расходных обязательств муниципальных образований уточнены подходы по определению размеров расчетных расходов на исполнение полномочий субъектов Российской Федерации и муниципальных образований («модельных» бюджетов), что учтено при предоставлении дотаций на выравнивание бюджетной обеспеченности субъектов Российской Федерации на 2018 год.</w:t>
      </w:r>
    </w:p>
    <w:p w:rsidR="00BD56A5" w:rsidRPr="00BD56A5" w:rsidRDefault="00BD56A5" w:rsidP="00BD56A5">
      <w:pPr>
        <w:jc w:val="both"/>
        <w:rPr>
          <w:rFonts w:ascii="Times New Roman" w:hAnsi="Times New Roman"/>
          <w:sz w:val="24"/>
        </w:rPr>
      </w:pPr>
      <w:r w:rsidRPr="00BD56A5">
        <w:rPr>
          <w:rFonts w:ascii="Times New Roman" w:hAnsi="Times New Roman"/>
          <w:sz w:val="24"/>
        </w:rPr>
        <w:t>Продолжена практика заключения соглашений с субъектами Российской Федерации, определяющих меры, направленные на стимулирование социально-экономического развития и оздоровление государственных финансов субъектов Российской Федерации и устанавливающие ответственность за невыполнение субъектом Российской Федерации указанных обязательств.</w:t>
      </w:r>
    </w:p>
    <w:p w:rsidR="00BD56A5" w:rsidRPr="00BD56A5" w:rsidRDefault="00BD56A5" w:rsidP="00BD56A5">
      <w:pPr>
        <w:jc w:val="both"/>
        <w:rPr>
          <w:rFonts w:ascii="Times New Roman" w:hAnsi="Times New Roman"/>
          <w:sz w:val="24"/>
        </w:rPr>
      </w:pPr>
      <w:r w:rsidRPr="00BD56A5">
        <w:rPr>
          <w:rFonts w:ascii="Times New Roman" w:hAnsi="Times New Roman"/>
          <w:sz w:val="24"/>
        </w:rPr>
        <w:t xml:space="preserve">В целях совершенствования предоставления межбюджетных трансфертов в 2017 году принят ряд федеральных законов по изменению бюджетного законодательства, предусматривающих: </w:t>
      </w:r>
    </w:p>
    <w:p w:rsidR="00BD56A5" w:rsidRPr="001A3A95" w:rsidRDefault="00BD56A5" w:rsidP="006A22F2">
      <w:pPr>
        <w:pStyle w:val="aa"/>
        <w:numPr>
          <w:ilvl w:val="0"/>
          <w:numId w:val="10"/>
        </w:numPr>
        <w:spacing w:before="120" w:after="120"/>
        <w:ind w:left="357" w:hanging="357"/>
        <w:contextualSpacing w:val="0"/>
        <w:jc w:val="both"/>
        <w:rPr>
          <w:rFonts w:ascii="Times New Roman" w:hAnsi="Times New Roman"/>
          <w:color w:val="000000"/>
          <w:sz w:val="24"/>
        </w:rPr>
      </w:pPr>
      <w:r w:rsidRPr="001A3A95">
        <w:rPr>
          <w:rFonts w:ascii="Times New Roman" w:hAnsi="Times New Roman"/>
          <w:color w:val="000000"/>
          <w:sz w:val="24"/>
        </w:rPr>
        <w:t xml:space="preserve">необходимость заключения с высокодотационными субъектами Российской Федерации соглашений о предоставлении дотации на выравнивание бюджетной обеспеченности субъектов Российской Федерации из федерального бюджета </w:t>
      </w:r>
      <w:r w:rsidRPr="001A3A95">
        <w:rPr>
          <w:rFonts w:ascii="Times New Roman" w:hAnsi="Times New Roman"/>
          <w:color w:val="000000"/>
          <w:sz w:val="24"/>
        </w:rPr>
        <w:lastRenderedPageBreak/>
        <w:t>бюджету субъекта Российской Федерации, которыми предусматриваются меры по социально-экономическому развитию и финансовому оздоровлению субъектов Российской Федерации;</w:t>
      </w:r>
    </w:p>
    <w:p w:rsidR="00BD56A5" w:rsidRPr="001A3A95" w:rsidRDefault="00BD56A5" w:rsidP="006A22F2">
      <w:pPr>
        <w:pStyle w:val="aa"/>
        <w:numPr>
          <w:ilvl w:val="0"/>
          <w:numId w:val="10"/>
        </w:numPr>
        <w:spacing w:before="120" w:after="120"/>
        <w:ind w:left="357" w:hanging="357"/>
        <w:contextualSpacing w:val="0"/>
        <w:jc w:val="both"/>
        <w:rPr>
          <w:rFonts w:ascii="Times New Roman" w:hAnsi="Times New Roman"/>
          <w:color w:val="000000"/>
          <w:sz w:val="24"/>
        </w:rPr>
      </w:pPr>
      <w:r w:rsidRPr="001A3A95">
        <w:rPr>
          <w:rFonts w:ascii="Times New Roman" w:hAnsi="Times New Roman"/>
          <w:color w:val="000000"/>
          <w:sz w:val="24"/>
        </w:rPr>
        <w:t xml:space="preserve">предоставление межбюджетных трансфертов из федерального бюджета бюджетам субъектов Российской Федерации «под потребность»; </w:t>
      </w:r>
    </w:p>
    <w:p w:rsidR="00BD56A5" w:rsidRPr="001A3A95" w:rsidRDefault="00BD56A5" w:rsidP="006A22F2">
      <w:pPr>
        <w:pStyle w:val="aa"/>
        <w:numPr>
          <w:ilvl w:val="0"/>
          <w:numId w:val="10"/>
        </w:numPr>
        <w:spacing w:before="120" w:after="120"/>
        <w:ind w:left="357" w:hanging="357"/>
        <w:contextualSpacing w:val="0"/>
        <w:jc w:val="both"/>
        <w:rPr>
          <w:rFonts w:ascii="Times New Roman" w:hAnsi="Times New Roman"/>
          <w:color w:val="000000"/>
          <w:sz w:val="24"/>
        </w:rPr>
      </w:pPr>
      <w:r w:rsidRPr="001A3A95">
        <w:rPr>
          <w:rFonts w:ascii="Times New Roman" w:hAnsi="Times New Roman"/>
          <w:color w:val="000000"/>
          <w:sz w:val="24"/>
        </w:rPr>
        <w:t>установление общих требований к формированию, предоставлению и распределению субсидий бюджетам субъектов Российской Федерации из федерального бюджета;</w:t>
      </w:r>
    </w:p>
    <w:p w:rsidR="00BD56A5" w:rsidRPr="001A3A95" w:rsidRDefault="00BD56A5" w:rsidP="006A22F2">
      <w:pPr>
        <w:pStyle w:val="aa"/>
        <w:numPr>
          <w:ilvl w:val="0"/>
          <w:numId w:val="10"/>
        </w:numPr>
        <w:spacing w:before="120" w:after="120"/>
        <w:ind w:left="357" w:hanging="357"/>
        <w:contextualSpacing w:val="0"/>
        <w:jc w:val="both"/>
        <w:rPr>
          <w:rFonts w:ascii="Times New Roman" w:hAnsi="Times New Roman"/>
          <w:color w:val="000000"/>
          <w:sz w:val="24"/>
        </w:rPr>
      </w:pPr>
      <w:r w:rsidRPr="001A3A95">
        <w:rPr>
          <w:rFonts w:ascii="Times New Roman" w:hAnsi="Times New Roman"/>
          <w:color w:val="000000"/>
          <w:sz w:val="24"/>
        </w:rPr>
        <w:t>закрепление на постоянной основе нормы, устанавливающей возможность оказания финансовой помощи бюджетам субъектов Российской Федерации по решению Правительства Российской Федерации, путем выделения бюджетных ассигнований из резервного фонда Правительства Российской Федер</w:t>
      </w:r>
      <w:r w:rsidR="00050E30">
        <w:rPr>
          <w:rFonts w:ascii="Times New Roman" w:hAnsi="Times New Roman"/>
          <w:color w:val="000000"/>
          <w:sz w:val="24"/>
        </w:rPr>
        <w:t>ации, сформированных за счет не</w:t>
      </w:r>
      <w:r w:rsidRPr="001A3A95">
        <w:rPr>
          <w:rFonts w:ascii="Times New Roman" w:hAnsi="Times New Roman"/>
          <w:color w:val="000000"/>
          <w:sz w:val="24"/>
        </w:rPr>
        <w:t xml:space="preserve">использованных субсидий и иных межбюджетных трансфертов, возвращенных в доходы федерального бюджета; </w:t>
      </w:r>
    </w:p>
    <w:p w:rsidR="00BD56A5" w:rsidRPr="001A3A95" w:rsidRDefault="00BD56A5" w:rsidP="006A22F2">
      <w:pPr>
        <w:pStyle w:val="aa"/>
        <w:numPr>
          <w:ilvl w:val="0"/>
          <w:numId w:val="10"/>
        </w:numPr>
        <w:spacing w:before="120" w:after="120"/>
        <w:ind w:left="357" w:hanging="357"/>
        <w:contextualSpacing w:val="0"/>
        <w:jc w:val="both"/>
        <w:rPr>
          <w:rFonts w:ascii="Times New Roman" w:hAnsi="Times New Roman"/>
          <w:color w:val="000000"/>
          <w:sz w:val="24"/>
        </w:rPr>
      </w:pPr>
      <w:r w:rsidRPr="001A3A95">
        <w:rPr>
          <w:rFonts w:ascii="Times New Roman" w:hAnsi="Times New Roman"/>
          <w:color w:val="000000"/>
          <w:sz w:val="24"/>
        </w:rPr>
        <w:t>норму о распределении субсидий бюджетам субъектов Российской Федерации на очередной финансовый год и плановый период федеральными законами о федеральном бюджете (о внесении изменений в федеральный закон о федеральном бюджете);</w:t>
      </w:r>
    </w:p>
    <w:p w:rsidR="00BD56A5" w:rsidRPr="001A3A95" w:rsidRDefault="00BD56A5" w:rsidP="006A22F2">
      <w:pPr>
        <w:pStyle w:val="aa"/>
        <w:numPr>
          <w:ilvl w:val="0"/>
          <w:numId w:val="10"/>
        </w:numPr>
        <w:spacing w:before="120" w:after="120"/>
        <w:ind w:left="357" w:hanging="357"/>
        <w:contextualSpacing w:val="0"/>
        <w:jc w:val="both"/>
        <w:rPr>
          <w:rFonts w:ascii="Times New Roman" w:hAnsi="Times New Roman"/>
          <w:color w:val="000000"/>
          <w:sz w:val="24"/>
        </w:rPr>
      </w:pPr>
      <w:r w:rsidRPr="001A3A95">
        <w:rPr>
          <w:rFonts w:ascii="Times New Roman" w:hAnsi="Times New Roman"/>
          <w:color w:val="000000"/>
          <w:sz w:val="24"/>
        </w:rPr>
        <w:t>закрепление сроков заключения соглашений о предоставлении из федерального бюджета субсидий бюджетам субъектов Российской Федерации до 15 февраля (в 2017 году до 1 марта);</w:t>
      </w:r>
    </w:p>
    <w:p w:rsidR="00BD56A5" w:rsidRPr="001A3A95" w:rsidRDefault="00BD56A5" w:rsidP="006A22F2">
      <w:pPr>
        <w:pStyle w:val="aa"/>
        <w:numPr>
          <w:ilvl w:val="0"/>
          <w:numId w:val="10"/>
        </w:numPr>
        <w:spacing w:before="120" w:after="120"/>
        <w:ind w:left="357" w:hanging="357"/>
        <w:contextualSpacing w:val="0"/>
        <w:jc w:val="both"/>
        <w:rPr>
          <w:rFonts w:ascii="Times New Roman" w:hAnsi="Times New Roman"/>
          <w:color w:val="000000"/>
          <w:sz w:val="24"/>
        </w:rPr>
      </w:pPr>
      <w:r w:rsidRPr="001A3A95">
        <w:rPr>
          <w:rFonts w:ascii="Times New Roman" w:hAnsi="Times New Roman"/>
          <w:color w:val="000000"/>
          <w:sz w:val="24"/>
        </w:rPr>
        <w:t xml:space="preserve">единый порядок определения предельного уровня софинансирования расходных обязательств субъектов Российской Федерации, который учитывает уровень бюджетной обеспеченности </w:t>
      </w:r>
      <w:r w:rsidR="001A3A95" w:rsidRPr="001A3A95">
        <w:rPr>
          <w:rFonts w:ascii="Times New Roman" w:hAnsi="Times New Roman"/>
          <w:color w:val="000000"/>
          <w:sz w:val="24"/>
        </w:rPr>
        <w:t>субъектов Российской Федерации;</w:t>
      </w:r>
    </w:p>
    <w:p w:rsidR="00BD56A5" w:rsidRPr="001A3A95" w:rsidRDefault="00BD56A5" w:rsidP="006A22F2">
      <w:pPr>
        <w:pStyle w:val="aa"/>
        <w:numPr>
          <w:ilvl w:val="0"/>
          <w:numId w:val="10"/>
        </w:numPr>
        <w:spacing w:before="120" w:after="120"/>
        <w:ind w:left="357" w:hanging="357"/>
        <w:contextualSpacing w:val="0"/>
        <w:jc w:val="both"/>
        <w:rPr>
          <w:rFonts w:ascii="Times New Roman" w:hAnsi="Times New Roman"/>
          <w:color w:val="000000"/>
          <w:sz w:val="24"/>
        </w:rPr>
      </w:pPr>
      <w:r w:rsidRPr="001A3A95">
        <w:rPr>
          <w:rFonts w:ascii="Times New Roman" w:hAnsi="Times New Roman"/>
          <w:color w:val="000000"/>
          <w:sz w:val="24"/>
        </w:rPr>
        <w:t>сохранение возможности превышения предельного объема государственного долга субъекта Российской Федерации (муниципального долга) на объем бюджетных кредитов в зависимости от уровня «дотационности».</w:t>
      </w:r>
    </w:p>
    <w:p w:rsidR="00BD56A5" w:rsidRDefault="00BD56A5" w:rsidP="00BD56A5">
      <w:pPr>
        <w:jc w:val="both"/>
        <w:rPr>
          <w:rFonts w:ascii="Times New Roman" w:hAnsi="Times New Roman"/>
          <w:sz w:val="24"/>
        </w:rPr>
      </w:pPr>
      <w:r w:rsidRPr="00BD56A5">
        <w:rPr>
          <w:rFonts w:ascii="Times New Roman" w:hAnsi="Times New Roman"/>
          <w:sz w:val="24"/>
        </w:rPr>
        <w:t>Комплекс вышеуказанных мер по настройке системы межбюджетных отношений способствовал улучшению сбалансированности бюджетов субъектов Российской Федерации, гармонизации предоставления межбюджетных трансфертов, созданию условий для повышения эффективности использования бюджетных средств</w:t>
      </w:r>
      <w:r>
        <w:rPr>
          <w:rFonts w:ascii="Times New Roman" w:hAnsi="Times New Roman"/>
          <w:sz w:val="24"/>
        </w:rPr>
        <w:t>.</w:t>
      </w:r>
    </w:p>
    <w:p w:rsidR="003B61C6" w:rsidRDefault="003B61C6" w:rsidP="00BD56A5">
      <w:pPr>
        <w:jc w:val="both"/>
        <w:rPr>
          <w:rFonts w:ascii="Times New Roman" w:hAnsi="Times New Roman"/>
          <w:sz w:val="24"/>
        </w:rPr>
      </w:pPr>
    </w:p>
    <w:p w:rsidR="003B61C6" w:rsidRDefault="003B61C6" w:rsidP="00BD56A5">
      <w:pPr>
        <w:jc w:val="both"/>
        <w:rPr>
          <w:rFonts w:ascii="Times New Roman" w:hAnsi="Times New Roman"/>
          <w:sz w:val="24"/>
        </w:rPr>
      </w:pPr>
    </w:p>
    <w:p w:rsidR="003B61C6" w:rsidRDefault="003B61C6" w:rsidP="00BD56A5">
      <w:pPr>
        <w:jc w:val="both"/>
        <w:rPr>
          <w:rFonts w:ascii="Times New Roman" w:hAnsi="Times New Roman"/>
          <w:sz w:val="24"/>
        </w:rPr>
      </w:pPr>
    </w:p>
    <w:p w:rsidR="003B61C6" w:rsidRDefault="003B61C6" w:rsidP="00BD56A5">
      <w:pPr>
        <w:jc w:val="both"/>
        <w:rPr>
          <w:rFonts w:ascii="Times New Roman" w:hAnsi="Times New Roman"/>
          <w:sz w:val="24"/>
        </w:rPr>
      </w:pPr>
    </w:p>
    <w:p w:rsidR="00375D6E" w:rsidRPr="00115E1A" w:rsidRDefault="004E2069" w:rsidP="00115E1A">
      <w:pPr>
        <w:pStyle w:val="20"/>
        <w:numPr>
          <w:ilvl w:val="1"/>
          <w:numId w:val="3"/>
        </w:numPr>
        <w:spacing w:before="240" w:after="240"/>
        <w:rPr>
          <w:rFonts w:ascii="Times New Roman" w:hAnsi="Times New Roman"/>
          <w:sz w:val="28"/>
          <w:szCs w:val="28"/>
        </w:rPr>
      </w:pPr>
      <w:bookmarkStart w:id="12" w:name="_Toc518648647"/>
      <w:r>
        <w:rPr>
          <w:rFonts w:ascii="Times New Roman" w:hAnsi="Times New Roman"/>
          <w:sz w:val="28"/>
          <w:szCs w:val="28"/>
        </w:rPr>
        <w:lastRenderedPageBreak/>
        <w:t>ОПЕРАЦИОННАЯ ЭФФЕКТИВНОСТЬ</w:t>
      </w:r>
      <w:r w:rsidR="00180B0E">
        <w:rPr>
          <w:rFonts w:ascii="Times New Roman" w:hAnsi="Times New Roman"/>
          <w:sz w:val="28"/>
          <w:szCs w:val="28"/>
        </w:rPr>
        <w:t xml:space="preserve"> </w:t>
      </w:r>
      <w:r w:rsidR="00180B0E" w:rsidRPr="00180B0E">
        <w:rPr>
          <w:rFonts w:ascii="Times New Roman" w:hAnsi="Times New Roman"/>
          <w:sz w:val="28"/>
          <w:szCs w:val="28"/>
        </w:rPr>
        <w:t>ИСПОЛЬЗОВАНИЯ БЮДЖЕТНЫХ СРЕДСТВ</w:t>
      </w:r>
      <w:bookmarkEnd w:id="12"/>
    </w:p>
    <w:p w:rsidR="00021CDC" w:rsidRPr="006860B5" w:rsidRDefault="001A3A95" w:rsidP="00EE592D">
      <w:pPr>
        <w:spacing w:before="120" w:after="120"/>
        <w:jc w:val="both"/>
        <w:rPr>
          <w:rFonts w:ascii="Times New Roman" w:hAnsi="Times New Roman"/>
          <w:color w:val="000000"/>
          <w:sz w:val="24"/>
        </w:rPr>
      </w:pPr>
      <w:r w:rsidRPr="001A3A95">
        <w:rPr>
          <w:rFonts w:ascii="Times New Roman" w:hAnsi="Times New Roman"/>
          <w:color w:val="000000"/>
          <w:sz w:val="24"/>
        </w:rPr>
        <w:t>В целях повышения операционной эффективности управления бюджетными ресурсами реализованы следующие мероприятия</w:t>
      </w:r>
      <w:r w:rsidR="00021CDC">
        <w:rPr>
          <w:rFonts w:ascii="Times New Roman" w:hAnsi="Times New Roman"/>
          <w:color w:val="000000"/>
          <w:sz w:val="24"/>
        </w:rPr>
        <w:t xml:space="preserve">. </w:t>
      </w:r>
    </w:p>
    <w:p w:rsidR="00021CDC" w:rsidRPr="0063778D" w:rsidRDefault="00021CDC" w:rsidP="006A22F2">
      <w:pPr>
        <w:pStyle w:val="aa"/>
        <w:numPr>
          <w:ilvl w:val="0"/>
          <w:numId w:val="11"/>
        </w:numPr>
        <w:spacing w:before="120" w:after="120"/>
        <w:contextualSpacing w:val="0"/>
        <w:jc w:val="both"/>
        <w:rPr>
          <w:rFonts w:ascii="Times New Roman" w:hAnsi="Times New Roman"/>
          <w:color w:val="000000"/>
          <w:sz w:val="24"/>
        </w:rPr>
      </w:pPr>
      <w:r w:rsidRPr="0063778D">
        <w:rPr>
          <w:rFonts w:ascii="Times New Roman" w:hAnsi="Times New Roman"/>
          <w:color w:val="000000"/>
          <w:sz w:val="24"/>
        </w:rPr>
        <w:t xml:space="preserve">В сфере </w:t>
      </w:r>
      <w:r w:rsidRPr="0063778D">
        <w:rPr>
          <w:rFonts w:ascii="Times New Roman" w:hAnsi="Times New Roman"/>
          <w:b/>
          <w:color w:val="000000"/>
          <w:sz w:val="24"/>
        </w:rPr>
        <w:t>повышения эффективности казначейского сопровождения</w:t>
      </w:r>
      <w:r w:rsidRPr="0063778D">
        <w:rPr>
          <w:rFonts w:ascii="Times New Roman" w:hAnsi="Times New Roman"/>
          <w:color w:val="000000"/>
          <w:sz w:val="24"/>
        </w:rPr>
        <w:t xml:space="preserve"> расходов федерального бюджета:</w:t>
      </w:r>
    </w:p>
    <w:p w:rsidR="001A3A95" w:rsidRPr="001A3A9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обеспечено поэтапное внедрение </w:t>
      </w:r>
      <w:r w:rsidRPr="001A3A95">
        <w:rPr>
          <w:rFonts w:ascii="Times New Roman" w:hAnsi="Times New Roman"/>
          <w:b/>
          <w:color w:val="000000"/>
          <w:sz w:val="24"/>
        </w:rPr>
        <w:t>казначейского сопровождения госконтрактов</w:t>
      </w:r>
      <w:r w:rsidRPr="001A3A95">
        <w:rPr>
          <w:rFonts w:ascii="Times New Roman" w:hAnsi="Times New Roman"/>
          <w:color w:val="000000"/>
          <w:sz w:val="24"/>
        </w:rPr>
        <w:t xml:space="preserve"> (договоров, соглашений), в том числе начато внедрение казначейского сопровождения расчетов по гособоронзаказу;</w:t>
      </w:r>
    </w:p>
    <w:p w:rsidR="001A3A95" w:rsidRPr="001A3A9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в отношении расчетов по госконтрактам, связанным с реализацией значимых мероприятий или приобретением (созданием) дорогостоящих объектов капитального строительства, в практику вошло </w:t>
      </w:r>
      <w:r w:rsidRPr="001A3A95">
        <w:rPr>
          <w:rFonts w:ascii="Times New Roman" w:hAnsi="Times New Roman"/>
          <w:b/>
          <w:color w:val="000000"/>
          <w:sz w:val="24"/>
        </w:rPr>
        <w:t>«расширенное» казначейское сопровождение</w:t>
      </w:r>
      <w:r w:rsidRPr="001A3A95">
        <w:rPr>
          <w:rFonts w:ascii="Times New Roman" w:hAnsi="Times New Roman"/>
          <w:color w:val="000000"/>
          <w:sz w:val="24"/>
        </w:rPr>
        <w:t xml:space="preserve"> (непосредственный контроль факта выполнения обязательств поставщика (п</w:t>
      </w:r>
      <w:r>
        <w:rPr>
          <w:rFonts w:ascii="Times New Roman" w:hAnsi="Times New Roman"/>
          <w:color w:val="000000"/>
          <w:sz w:val="24"/>
        </w:rPr>
        <w:t>одрядчика), в том числе с фото-/</w:t>
      </w:r>
      <w:r w:rsidRPr="001A3A95">
        <w:rPr>
          <w:rFonts w:ascii="Times New Roman" w:hAnsi="Times New Roman"/>
          <w:color w:val="000000"/>
          <w:sz w:val="24"/>
        </w:rPr>
        <w:t>видеофиксацией);</w:t>
      </w:r>
    </w:p>
    <w:p w:rsidR="001A3A95" w:rsidRPr="001A3A9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введена специальная форма расчета</w:t>
      </w:r>
      <w:r>
        <w:rPr>
          <w:rFonts w:ascii="Times New Roman" w:hAnsi="Times New Roman"/>
          <w:color w:val="000000"/>
          <w:sz w:val="24"/>
        </w:rPr>
        <w:t xml:space="preserve"> – </w:t>
      </w:r>
      <w:r w:rsidRPr="001A3A95">
        <w:rPr>
          <w:rFonts w:ascii="Times New Roman" w:hAnsi="Times New Roman"/>
          <w:b/>
          <w:color w:val="000000"/>
          <w:sz w:val="24"/>
        </w:rPr>
        <w:t>казначейский аккредитив</w:t>
      </w:r>
      <w:r w:rsidRPr="001A3A95">
        <w:rPr>
          <w:rFonts w:ascii="Times New Roman" w:hAnsi="Times New Roman"/>
          <w:color w:val="000000"/>
          <w:sz w:val="24"/>
        </w:rPr>
        <w:t>: оплата по госконтракту только после предъявления документов, подтверждающих факт поставки товаров (выполнения работ, оказания услуг);</w:t>
      </w:r>
    </w:p>
    <w:p w:rsidR="00021CDC" w:rsidRPr="0063778D"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подготовлена нормативная правовая база, необходимая для осуществления операций с применением </w:t>
      </w:r>
      <w:r w:rsidRPr="001A3A95">
        <w:rPr>
          <w:rFonts w:ascii="Times New Roman" w:hAnsi="Times New Roman"/>
          <w:b/>
          <w:color w:val="000000"/>
          <w:sz w:val="24"/>
        </w:rPr>
        <w:t>казначейского обеспечения обязательств</w:t>
      </w:r>
      <w:r w:rsidRPr="001A3A95">
        <w:rPr>
          <w:rFonts w:ascii="Times New Roman" w:hAnsi="Times New Roman"/>
          <w:color w:val="000000"/>
          <w:sz w:val="24"/>
        </w:rPr>
        <w:t>, в том числе в сочетании с банковским сопровождением средств</w:t>
      </w:r>
      <w:r w:rsidR="00021CDC" w:rsidRPr="0063778D">
        <w:rPr>
          <w:rFonts w:ascii="Times New Roman" w:hAnsi="Times New Roman"/>
          <w:color w:val="000000"/>
          <w:sz w:val="24"/>
        </w:rPr>
        <w:t>.</w:t>
      </w:r>
    </w:p>
    <w:p w:rsidR="00021CDC" w:rsidRPr="006860B5" w:rsidRDefault="00021CDC" w:rsidP="006A22F2">
      <w:pPr>
        <w:pStyle w:val="aa"/>
        <w:numPr>
          <w:ilvl w:val="0"/>
          <w:numId w:val="11"/>
        </w:numPr>
        <w:spacing w:before="120" w:after="120"/>
        <w:contextualSpacing w:val="0"/>
        <w:jc w:val="both"/>
        <w:rPr>
          <w:rFonts w:ascii="Times New Roman" w:hAnsi="Times New Roman"/>
          <w:color w:val="000000"/>
          <w:sz w:val="24"/>
        </w:rPr>
      </w:pPr>
      <w:r>
        <w:rPr>
          <w:rFonts w:ascii="Times New Roman" w:hAnsi="Times New Roman"/>
          <w:color w:val="000000"/>
          <w:sz w:val="24"/>
        </w:rPr>
        <w:t>В сфере с</w:t>
      </w:r>
      <w:r w:rsidRPr="006860B5">
        <w:rPr>
          <w:rFonts w:ascii="Times New Roman" w:hAnsi="Times New Roman"/>
          <w:color w:val="000000"/>
          <w:sz w:val="24"/>
        </w:rPr>
        <w:t>овершенствовани</w:t>
      </w:r>
      <w:r>
        <w:rPr>
          <w:rFonts w:ascii="Times New Roman" w:hAnsi="Times New Roman"/>
          <w:color w:val="000000"/>
          <w:sz w:val="24"/>
        </w:rPr>
        <w:t xml:space="preserve">я </w:t>
      </w:r>
      <w:r w:rsidRPr="0063778D">
        <w:rPr>
          <w:rFonts w:ascii="Times New Roman" w:hAnsi="Times New Roman"/>
          <w:b/>
          <w:color w:val="000000"/>
          <w:sz w:val="24"/>
        </w:rPr>
        <w:t>государственных инвестиций</w:t>
      </w:r>
      <w:r w:rsidRPr="006860B5">
        <w:rPr>
          <w:rFonts w:ascii="Times New Roman" w:hAnsi="Times New Roman"/>
          <w:color w:val="000000"/>
          <w:sz w:val="24"/>
        </w:rPr>
        <w:t xml:space="preserve">: </w:t>
      </w:r>
    </w:p>
    <w:p w:rsidR="001A3A95" w:rsidRPr="001A3A9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обеспечен </w:t>
      </w:r>
      <w:r w:rsidRPr="001A3A95">
        <w:rPr>
          <w:rFonts w:ascii="Times New Roman" w:hAnsi="Times New Roman"/>
          <w:b/>
          <w:color w:val="000000"/>
          <w:sz w:val="24"/>
        </w:rPr>
        <w:t>учет в федеральной адресной инвестиционной программе всех субсидий</w:t>
      </w:r>
      <w:r w:rsidRPr="001A3A95">
        <w:rPr>
          <w:rFonts w:ascii="Times New Roman" w:hAnsi="Times New Roman"/>
          <w:color w:val="000000"/>
          <w:sz w:val="24"/>
        </w:rPr>
        <w:t xml:space="preserve"> и бюджетных инвестиций юридическим лицам на осуществление капитальных вложений, что расширяет возможности подтверждения эффективности их предоставления как на этапе составления проекта федерального бюджета, так и его исполнения;</w:t>
      </w:r>
    </w:p>
    <w:p w:rsidR="001A3A95" w:rsidRPr="001A3A9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установлены правовые основания для </w:t>
      </w:r>
      <w:r w:rsidRPr="001A3A95">
        <w:rPr>
          <w:rFonts w:ascii="Times New Roman" w:hAnsi="Times New Roman"/>
          <w:b/>
          <w:color w:val="000000"/>
          <w:sz w:val="24"/>
        </w:rPr>
        <w:t>перехода от взносов в уставные капиталы юридических лиц к субсидиям</w:t>
      </w:r>
      <w:r w:rsidRPr="001A3A95">
        <w:rPr>
          <w:rFonts w:ascii="Times New Roman" w:hAnsi="Times New Roman"/>
          <w:color w:val="000000"/>
          <w:sz w:val="24"/>
        </w:rPr>
        <w:t xml:space="preserve"> акционерным обществам со стопроцентным государственным участием и передаче полномочий государственного заказчика акционерным обществам с государственным участием при осуществлении бюджетных инвестиций в объекты государственной собственности, передаваемые впоследствии в качестве вклада в их уставные капиталы;</w:t>
      </w:r>
    </w:p>
    <w:p w:rsidR="001A3A95" w:rsidRPr="001A3A9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введены основания для заключения </w:t>
      </w:r>
      <w:r w:rsidRPr="001A3A95">
        <w:rPr>
          <w:rFonts w:ascii="Times New Roman" w:hAnsi="Times New Roman"/>
          <w:b/>
          <w:color w:val="000000"/>
          <w:sz w:val="24"/>
        </w:rPr>
        <w:t>долгосрочных соглашений о предоставлении субсидий</w:t>
      </w:r>
      <w:r w:rsidRPr="001A3A95">
        <w:rPr>
          <w:rFonts w:ascii="Times New Roman" w:hAnsi="Times New Roman"/>
          <w:color w:val="000000"/>
          <w:sz w:val="24"/>
        </w:rPr>
        <w:t xml:space="preserve"> юрлицам на инвестиционные цели;</w:t>
      </w:r>
    </w:p>
    <w:p w:rsidR="00021CDC" w:rsidRPr="006860B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утверждены </w:t>
      </w:r>
      <w:r w:rsidRPr="001A3A95">
        <w:rPr>
          <w:rFonts w:ascii="Times New Roman" w:hAnsi="Times New Roman"/>
          <w:b/>
          <w:color w:val="000000"/>
          <w:sz w:val="24"/>
        </w:rPr>
        <w:t>типовые формы соглашений о предоставлении субсидий</w:t>
      </w:r>
      <w:r w:rsidRPr="001A3A95">
        <w:rPr>
          <w:rFonts w:ascii="Times New Roman" w:hAnsi="Times New Roman"/>
          <w:color w:val="000000"/>
          <w:sz w:val="24"/>
        </w:rPr>
        <w:t xml:space="preserve"> федеральным учреждениям и ФГУПам на осуществление капитальных вложений и о передаче указанным юридическим лицам полномочий </w:t>
      </w:r>
      <w:r w:rsidRPr="001A3A95">
        <w:rPr>
          <w:rFonts w:ascii="Times New Roman" w:hAnsi="Times New Roman"/>
          <w:color w:val="000000"/>
          <w:sz w:val="24"/>
        </w:rPr>
        <w:lastRenderedPageBreak/>
        <w:t>государственного заказчика при осуществлении бюджетных инвестиций в объекты федеральной собственности</w:t>
      </w:r>
      <w:r w:rsidR="000023E2">
        <w:rPr>
          <w:rFonts w:ascii="Times New Roman" w:hAnsi="Times New Roman"/>
          <w:color w:val="000000"/>
          <w:sz w:val="24"/>
        </w:rPr>
        <w:t>;</w:t>
      </w:r>
    </w:p>
    <w:p w:rsidR="00021CDC" w:rsidRPr="006860B5" w:rsidRDefault="00021CDC" w:rsidP="006A22F2">
      <w:pPr>
        <w:pStyle w:val="aa"/>
        <w:numPr>
          <w:ilvl w:val="0"/>
          <w:numId w:val="11"/>
        </w:numPr>
        <w:spacing w:before="120" w:after="120"/>
        <w:contextualSpacing w:val="0"/>
        <w:jc w:val="both"/>
        <w:rPr>
          <w:rFonts w:ascii="Times New Roman" w:hAnsi="Times New Roman"/>
          <w:color w:val="000000"/>
          <w:sz w:val="24"/>
        </w:rPr>
      </w:pPr>
      <w:r>
        <w:rPr>
          <w:rFonts w:ascii="Times New Roman" w:hAnsi="Times New Roman"/>
          <w:color w:val="000000"/>
          <w:sz w:val="24"/>
        </w:rPr>
        <w:t>В сфере повышения</w:t>
      </w:r>
      <w:r w:rsidRPr="006860B5">
        <w:rPr>
          <w:rFonts w:ascii="Times New Roman" w:hAnsi="Times New Roman"/>
          <w:color w:val="000000"/>
          <w:sz w:val="24"/>
        </w:rPr>
        <w:t xml:space="preserve"> качества оказания </w:t>
      </w:r>
      <w:r w:rsidRPr="0063778D">
        <w:rPr>
          <w:rFonts w:ascii="Times New Roman" w:hAnsi="Times New Roman"/>
          <w:b/>
          <w:color w:val="000000"/>
          <w:sz w:val="24"/>
        </w:rPr>
        <w:t>государственных и муниципальных услуг</w:t>
      </w:r>
      <w:r w:rsidRPr="006860B5">
        <w:rPr>
          <w:rFonts w:ascii="Times New Roman" w:hAnsi="Times New Roman"/>
          <w:color w:val="000000"/>
          <w:sz w:val="24"/>
        </w:rPr>
        <w:t>:</w:t>
      </w:r>
    </w:p>
    <w:p w:rsidR="001A3A95" w:rsidRPr="001A3A9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подготовлен законопроект, направленный на создание правовой базы для </w:t>
      </w:r>
      <w:r w:rsidRPr="001A3A95">
        <w:rPr>
          <w:rFonts w:ascii="Times New Roman" w:hAnsi="Times New Roman"/>
          <w:b/>
          <w:color w:val="000000"/>
          <w:sz w:val="24"/>
        </w:rPr>
        <w:t>привлечения к оказанию государственных услуг в социальной сфере негосударственных организаций</w:t>
      </w:r>
      <w:r w:rsidRPr="001A3A95">
        <w:rPr>
          <w:rFonts w:ascii="Times New Roman" w:hAnsi="Times New Roman"/>
          <w:color w:val="000000"/>
          <w:sz w:val="24"/>
        </w:rPr>
        <w:t>, в том числе на основе государственного (муниципального) социального заказа, конкурсов и аукционов, сертификатов;</w:t>
      </w:r>
    </w:p>
    <w:p w:rsidR="001A3A95" w:rsidRPr="001A3A9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обеспечена </w:t>
      </w:r>
      <w:r w:rsidRPr="001A3A95">
        <w:rPr>
          <w:rFonts w:ascii="Times New Roman" w:hAnsi="Times New Roman"/>
          <w:b/>
          <w:color w:val="000000"/>
          <w:sz w:val="24"/>
        </w:rPr>
        <w:t>апробация</w:t>
      </w:r>
      <w:r w:rsidRPr="001A3A95">
        <w:rPr>
          <w:rFonts w:ascii="Times New Roman" w:hAnsi="Times New Roman"/>
          <w:color w:val="000000"/>
          <w:sz w:val="24"/>
        </w:rPr>
        <w:t xml:space="preserve"> механизмов организации оказания государственных (муниципальных) услуг, предусмотренных проектом вышеупомянутого федерального закона </w:t>
      </w:r>
      <w:r w:rsidRPr="001A3A95">
        <w:rPr>
          <w:rFonts w:ascii="Times New Roman" w:hAnsi="Times New Roman"/>
          <w:b/>
          <w:color w:val="000000"/>
          <w:sz w:val="24"/>
        </w:rPr>
        <w:t>в 8 субъектах Российской Федерации</w:t>
      </w:r>
      <w:r w:rsidRPr="001A3A95">
        <w:rPr>
          <w:rFonts w:ascii="Times New Roman" w:hAnsi="Times New Roman"/>
          <w:color w:val="000000"/>
          <w:sz w:val="24"/>
        </w:rPr>
        <w:t xml:space="preserve"> (Красноярском и Пермском краях, Волгоградской, Московской, Мурманской, Тамбовской, Тюменской и Ярославской областях);</w:t>
      </w:r>
    </w:p>
    <w:p w:rsidR="001A3A95" w:rsidRPr="001A3A9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законодательно установлены требования к огра</w:t>
      </w:r>
      <w:r w:rsidRPr="001A3A95">
        <w:rPr>
          <w:rFonts w:ascii="Times New Roman" w:hAnsi="Times New Roman"/>
          <w:b/>
          <w:color w:val="000000"/>
          <w:sz w:val="24"/>
        </w:rPr>
        <w:t>ничению размеров авансовых платежей</w:t>
      </w:r>
      <w:r w:rsidRPr="001A3A95">
        <w:rPr>
          <w:rFonts w:ascii="Times New Roman" w:hAnsi="Times New Roman"/>
          <w:color w:val="000000"/>
          <w:sz w:val="24"/>
        </w:rPr>
        <w:t xml:space="preserve"> в контрактах (договорах), заключаемых бюджетными или автономными учреждениями, аналогично ограничениям, установленным для получателя бюджетных средств;</w:t>
      </w:r>
    </w:p>
    <w:p w:rsidR="001A3A95" w:rsidRPr="001A3A9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введены </w:t>
      </w:r>
      <w:r w:rsidRPr="001A3A95">
        <w:rPr>
          <w:rFonts w:ascii="Times New Roman" w:hAnsi="Times New Roman"/>
          <w:b/>
          <w:color w:val="000000"/>
          <w:sz w:val="24"/>
        </w:rPr>
        <w:t>федеральные и региональные перечни государственных и муниципальных услуг и работ</w:t>
      </w:r>
      <w:r w:rsidRPr="001A3A95">
        <w:rPr>
          <w:rFonts w:ascii="Times New Roman" w:hAnsi="Times New Roman"/>
          <w:color w:val="000000"/>
          <w:sz w:val="24"/>
        </w:rPr>
        <w:t>, не включенные в общероссийские базовые (отраслевые) перечни, в целях более оперативного включения новых услуг и работ, необходимых для формирования госзадания;</w:t>
      </w:r>
    </w:p>
    <w:p w:rsidR="00021CDC" w:rsidRPr="006860B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уточнена правовая база в части </w:t>
      </w:r>
      <w:r w:rsidRPr="001A3A95">
        <w:rPr>
          <w:rFonts w:ascii="Times New Roman" w:hAnsi="Times New Roman"/>
          <w:b/>
          <w:color w:val="000000"/>
          <w:sz w:val="24"/>
        </w:rPr>
        <w:t>критериев признания</w:t>
      </w:r>
      <w:r w:rsidRPr="001A3A95">
        <w:rPr>
          <w:rFonts w:ascii="Times New Roman" w:hAnsi="Times New Roman"/>
          <w:color w:val="000000"/>
          <w:sz w:val="24"/>
        </w:rPr>
        <w:t xml:space="preserve"> государственного (муниципального) задания </w:t>
      </w:r>
      <w:r w:rsidRPr="001A3A95">
        <w:rPr>
          <w:rFonts w:ascii="Times New Roman" w:hAnsi="Times New Roman"/>
          <w:b/>
          <w:color w:val="000000"/>
          <w:sz w:val="24"/>
        </w:rPr>
        <w:t>невыполненным</w:t>
      </w:r>
      <w:r w:rsidRPr="001A3A95">
        <w:rPr>
          <w:rFonts w:ascii="Times New Roman" w:hAnsi="Times New Roman"/>
          <w:color w:val="000000"/>
          <w:sz w:val="24"/>
        </w:rPr>
        <w:t xml:space="preserve"> и административная ответственность за его невыполнение, а также установлены особенности досрочного прекращения государственного задания</w:t>
      </w:r>
      <w:r w:rsidR="00021CDC" w:rsidRPr="006860B5">
        <w:rPr>
          <w:rFonts w:ascii="Times New Roman" w:hAnsi="Times New Roman"/>
          <w:color w:val="000000"/>
          <w:sz w:val="24"/>
        </w:rPr>
        <w:t>.</w:t>
      </w:r>
    </w:p>
    <w:p w:rsidR="00021CDC" w:rsidRPr="006860B5" w:rsidRDefault="00021CDC" w:rsidP="006A22F2">
      <w:pPr>
        <w:pStyle w:val="aa"/>
        <w:numPr>
          <w:ilvl w:val="0"/>
          <w:numId w:val="11"/>
        </w:numPr>
        <w:spacing w:before="120" w:after="120"/>
        <w:contextualSpacing w:val="0"/>
        <w:jc w:val="both"/>
        <w:rPr>
          <w:rFonts w:ascii="Times New Roman" w:hAnsi="Times New Roman"/>
          <w:color w:val="000000"/>
          <w:sz w:val="24"/>
        </w:rPr>
      </w:pPr>
      <w:r>
        <w:rPr>
          <w:rFonts w:ascii="Times New Roman" w:hAnsi="Times New Roman"/>
          <w:color w:val="000000"/>
          <w:sz w:val="24"/>
        </w:rPr>
        <w:t>В сфере с</w:t>
      </w:r>
      <w:r w:rsidRPr="006860B5">
        <w:rPr>
          <w:rFonts w:ascii="Times New Roman" w:hAnsi="Times New Roman"/>
          <w:color w:val="000000"/>
          <w:sz w:val="24"/>
        </w:rPr>
        <w:t>овершенствовани</w:t>
      </w:r>
      <w:r>
        <w:rPr>
          <w:rFonts w:ascii="Times New Roman" w:hAnsi="Times New Roman"/>
          <w:color w:val="000000"/>
          <w:sz w:val="24"/>
        </w:rPr>
        <w:t>я</w:t>
      </w:r>
      <w:r w:rsidRPr="006860B5">
        <w:rPr>
          <w:rFonts w:ascii="Times New Roman" w:hAnsi="Times New Roman"/>
          <w:color w:val="000000"/>
          <w:sz w:val="24"/>
        </w:rPr>
        <w:t xml:space="preserve"> </w:t>
      </w:r>
      <w:r w:rsidRPr="0063778D">
        <w:rPr>
          <w:rFonts w:ascii="Times New Roman" w:hAnsi="Times New Roman"/>
          <w:b/>
          <w:color w:val="000000"/>
          <w:sz w:val="24"/>
        </w:rPr>
        <w:t>контроля за использованием бюджетных средств</w:t>
      </w:r>
      <w:r w:rsidR="001A3A95">
        <w:rPr>
          <w:rFonts w:ascii="Times New Roman" w:hAnsi="Times New Roman"/>
          <w:b/>
          <w:color w:val="000000"/>
          <w:sz w:val="24"/>
        </w:rPr>
        <w:t xml:space="preserve"> </w:t>
      </w:r>
      <w:r w:rsidR="001A3A95" w:rsidRPr="001A3A95">
        <w:rPr>
          <w:rFonts w:ascii="Times New Roman" w:hAnsi="Times New Roman"/>
          <w:color w:val="000000"/>
          <w:sz w:val="24"/>
        </w:rPr>
        <w:t>подготовлены законодательные инициативы, обеспечивающие</w:t>
      </w:r>
      <w:r w:rsidRPr="006860B5">
        <w:rPr>
          <w:rFonts w:ascii="Times New Roman" w:hAnsi="Times New Roman"/>
          <w:color w:val="000000"/>
          <w:sz w:val="24"/>
        </w:rPr>
        <w:t>:</w:t>
      </w:r>
    </w:p>
    <w:p w:rsidR="001A3A95" w:rsidRPr="001A3A9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b/>
          <w:color w:val="000000"/>
          <w:sz w:val="24"/>
        </w:rPr>
        <w:t>расширение сферы</w:t>
      </w:r>
      <w:r w:rsidRPr="001A3A95">
        <w:rPr>
          <w:rFonts w:ascii="Times New Roman" w:hAnsi="Times New Roman"/>
          <w:color w:val="000000"/>
          <w:sz w:val="24"/>
        </w:rPr>
        <w:t xml:space="preserve"> государственного (муниципального) финансового контроля;</w:t>
      </w:r>
    </w:p>
    <w:p w:rsidR="001A3A95" w:rsidRPr="001A3A9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формирование федеральной </w:t>
      </w:r>
      <w:r w:rsidRPr="001A3A95">
        <w:rPr>
          <w:rFonts w:ascii="Times New Roman" w:hAnsi="Times New Roman"/>
          <w:b/>
          <w:color w:val="000000"/>
          <w:sz w:val="24"/>
        </w:rPr>
        <w:t>системы стандартов</w:t>
      </w:r>
      <w:r w:rsidRPr="001A3A95">
        <w:rPr>
          <w:rFonts w:ascii="Times New Roman" w:hAnsi="Times New Roman"/>
          <w:color w:val="000000"/>
          <w:sz w:val="24"/>
        </w:rPr>
        <w:t xml:space="preserve"> внутреннего государственного (муниципального) финансового контроля;</w:t>
      </w:r>
    </w:p>
    <w:p w:rsidR="001A3A95" w:rsidRPr="001A3A9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совершенствование порядка реализации </w:t>
      </w:r>
      <w:r w:rsidRPr="001A3A95">
        <w:rPr>
          <w:rFonts w:ascii="Times New Roman" w:hAnsi="Times New Roman"/>
          <w:b/>
          <w:color w:val="000000"/>
          <w:sz w:val="24"/>
        </w:rPr>
        <w:t>результатов</w:t>
      </w:r>
      <w:r w:rsidRPr="001A3A95">
        <w:rPr>
          <w:rFonts w:ascii="Times New Roman" w:hAnsi="Times New Roman"/>
          <w:color w:val="000000"/>
          <w:sz w:val="24"/>
        </w:rPr>
        <w:t xml:space="preserve"> государственного (муниципального) финансового контроля;</w:t>
      </w:r>
    </w:p>
    <w:p w:rsidR="00694983" w:rsidRPr="006860B5" w:rsidRDefault="001A3A95" w:rsidP="006A22F2">
      <w:pPr>
        <w:pStyle w:val="aa"/>
        <w:numPr>
          <w:ilvl w:val="0"/>
          <w:numId w:val="12"/>
        </w:numPr>
        <w:spacing w:before="120" w:after="120"/>
        <w:contextualSpacing w:val="0"/>
        <w:jc w:val="both"/>
        <w:rPr>
          <w:rFonts w:ascii="Times New Roman" w:hAnsi="Times New Roman"/>
          <w:color w:val="000000"/>
          <w:sz w:val="24"/>
        </w:rPr>
      </w:pPr>
      <w:r w:rsidRPr="001A3A95">
        <w:rPr>
          <w:rFonts w:ascii="Times New Roman" w:hAnsi="Times New Roman"/>
          <w:color w:val="000000"/>
          <w:sz w:val="24"/>
        </w:rPr>
        <w:t xml:space="preserve">развитие </w:t>
      </w:r>
      <w:r w:rsidRPr="00F73C86">
        <w:rPr>
          <w:rFonts w:ascii="Times New Roman" w:hAnsi="Times New Roman"/>
          <w:b/>
          <w:color w:val="000000"/>
          <w:sz w:val="24"/>
        </w:rPr>
        <w:t>внутреннего</w:t>
      </w:r>
      <w:r w:rsidRPr="001A3A95">
        <w:rPr>
          <w:rFonts w:ascii="Times New Roman" w:hAnsi="Times New Roman"/>
          <w:color w:val="000000"/>
          <w:sz w:val="24"/>
        </w:rPr>
        <w:t xml:space="preserve"> финансового контроля и внутреннего финансового аудита</w:t>
      </w:r>
      <w:r w:rsidR="00694983" w:rsidRPr="006860B5">
        <w:rPr>
          <w:rFonts w:ascii="Times New Roman" w:hAnsi="Times New Roman"/>
          <w:color w:val="000000"/>
          <w:sz w:val="24"/>
        </w:rPr>
        <w:t>.</w:t>
      </w:r>
    </w:p>
    <w:p w:rsidR="00021CDC" w:rsidRPr="006860B5" w:rsidRDefault="00021CDC" w:rsidP="006A22F2">
      <w:pPr>
        <w:pStyle w:val="aa"/>
        <w:numPr>
          <w:ilvl w:val="0"/>
          <w:numId w:val="11"/>
        </w:numPr>
        <w:spacing w:before="120" w:after="120"/>
        <w:contextualSpacing w:val="0"/>
        <w:jc w:val="both"/>
        <w:rPr>
          <w:rFonts w:ascii="Times New Roman" w:hAnsi="Times New Roman"/>
          <w:color w:val="000000"/>
          <w:sz w:val="24"/>
        </w:rPr>
      </w:pPr>
      <w:r>
        <w:rPr>
          <w:rFonts w:ascii="Times New Roman" w:hAnsi="Times New Roman"/>
          <w:color w:val="000000"/>
          <w:sz w:val="24"/>
        </w:rPr>
        <w:t>В сфере с</w:t>
      </w:r>
      <w:r w:rsidRPr="006860B5">
        <w:rPr>
          <w:rFonts w:ascii="Times New Roman" w:hAnsi="Times New Roman"/>
          <w:color w:val="000000"/>
          <w:sz w:val="24"/>
        </w:rPr>
        <w:t>овершенствовани</w:t>
      </w:r>
      <w:r>
        <w:rPr>
          <w:rFonts w:ascii="Times New Roman" w:hAnsi="Times New Roman"/>
          <w:color w:val="000000"/>
          <w:sz w:val="24"/>
        </w:rPr>
        <w:t>я</w:t>
      </w:r>
      <w:r w:rsidRPr="006860B5">
        <w:rPr>
          <w:rFonts w:ascii="Times New Roman" w:hAnsi="Times New Roman"/>
          <w:color w:val="000000"/>
          <w:sz w:val="24"/>
        </w:rPr>
        <w:t xml:space="preserve"> управления расходами бюджета </w:t>
      </w:r>
      <w:r w:rsidRPr="0063778D">
        <w:rPr>
          <w:rFonts w:ascii="Times New Roman" w:hAnsi="Times New Roman"/>
          <w:color w:val="000000"/>
          <w:sz w:val="24"/>
        </w:rPr>
        <w:t xml:space="preserve">на осуществление </w:t>
      </w:r>
      <w:r w:rsidRPr="00EE592D">
        <w:rPr>
          <w:rFonts w:ascii="Times New Roman" w:hAnsi="Times New Roman"/>
          <w:b/>
          <w:color w:val="000000"/>
          <w:sz w:val="24"/>
        </w:rPr>
        <w:t>закупок для государственных нужд</w:t>
      </w:r>
      <w:r w:rsidRPr="0063778D">
        <w:rPr>
          <w:rFonts w:ascii="Times New Roman" w:hAnsi="Times New Roman"/>
          <w:color w:val="000000"/>
          <w:sz w:val="24"/>
        </w:rPr>
        <w:t xml:space="preserve"> </w:t>
      </w:r>
      <w:r w:rsidRPr="004C72AA">
        <w:rPr>
          <w:rFonts w:ascii="Times New Roman" w:hAnsi="Times New Roman"/>
          <w:color w:val="000000"/>
          <w:sz w:val="24"/>
        </w:rPr>
        <w:t>приняты нормативные правовые акты, направленные на</w:t>
      </w:r>
      <w:r w:rsidRPr="006860B5">
        <w:rPr>
          <w:rFonts w:ascii="Times New Roman" w:hAnsi="Times New Roman"/>
          <w:color w:val="000000"/>
          <w:sz w:val="24"/>
        </w:rPr>
        <w:t>:</w:t>
      </w:r>
    </w:p>
    <w:p w:rsidR="00F73C86" w:rsidRPr="00F73C86" w:rsidRDefault="00F73C86" w:rsidP="006A22F2">
      <w:pPr>
        <w:pStyle w:val="aa"/>
        <w:numPr>
          <w:ilvl w:val="0"/>
          <w:numId w:val="12"/>
        </w:numPr>
        <w:spacing w:before="120" w:after="120"/>
        <w:contextualSpacing w:val="0"/>
        <w:jc w:val="both"/>
        <w:rPr>
          <w:rFonts w:ascii="Times New Roman" w:hAnsi="Times New Roman"/>
          <w:color w:val="000000"/>
          <w:sz w:val="24"/>
        </w:rPr>
      </w:pPr>
      <w:r w:rsidRPr="00F73C86">
        <w:rPr>
          <w:rFonts w:ascii="Times New Roman" w:hAnsi="Times New Roman"/>
          <w:color w:val="000000"/>
          <w:sz w:val="24"/>
        </w:rPr>
        <w:t xml:space="preserve">перевод осуществления всех процедур определения поставщика (подрядчика, исполнителя) </w:t>
      </w:r>
      <w:r w:rsidRPr="00F73C86">
        <w:rPr>
          <w:rFonts w:ascii="Times New Roman" w:hAnsi="Times New Roman"/>
          <w:b/>
          <w:color w:val="000000"/>
          <w:sz w:val="24"/>
        </w:rPr>
        <w:t>в электронную форму</w:t>
      </w:r>
      <w:r w:rsidRPr="00F73C86">
        <w:rPr>
          <w:rFonts w:ascii="Times New Roman" w:hAnsi="Times New Roman"/>
          <w:color w:val="000000"/>
          <w:sz w:val="24"/>
        </w:rPr>
        <w:t>;</w:t>
      </w:r>
    </w:p>
    <w:p w:rsidR="00F73C86" w:rsidRPr="00F73C86" w:rsidRDefault="00F73C86" w:rsidP="006A22F2">
      <w:pPr>
        <w:pStyle w:val="aa"/>
        <w:numPr>
          <w:ilvl w:val="0"/>
          <w:numId w:val="12"/>
        </w:numPr>
        <w:spacing w:before="120" w:after="120"/>
        <w:contextualSpacing w:val="0"/>
        <w:jc w:val="both"/>
        <w:rPr>
          <w:rFonts w:ascii="Times New Roman" w:hAnsi="Times New Roman"/>
          <w:color w:val="000000"/>
          <w:sz w:val="24"/>
        </w:rPr>
      </w:pPr>
      <w:r w:rsidRPr="00F73C86">
        <w:rPr>
          <w:rFonts w:ascii="Times New Roman" w:hAnsi="Times New Roman"/>
          <w:color w:val="000000"/>
          <w:sz w:val="24"/>
        </w:rPr>
        <w:lastRenderedPageBreak/>
        <w:t xml:space="preserve">утверждены </w:t>
      </w:r>
      <w:r w:rsidRPr="00F73C86">
        <w:rPr>
          <w:rFonts w:ascii="Times New Roman" w:hAnsi="Times New Roman"/>
          <w:b/>
          <w:color w:val="000000"/>
          <w:sz w:val="24"/>
        </w:rPr>
        <w:t>правила определения размера штрафа</w:t>
      </w:r>
      <w:r w:rsidRPr="00F73C86">
        <w:rPr>
          <w:rFonts w:ascii="Times New Roman" w:hAnsi="Times New Roman"/>
          <w:color w:val="000000"/>
          <w:sz w:val="24"/>
        </w:rPr>
        <w:t xml:space="preserve"> (неустойки, пени) за ненадлежащее исполнение контракта;</w:t>
      </w:r>
    </w:p>
    <w:p w:rsidR="00021CDC" w:rsidRPr="006860B5" w:rsidRDefault="00F73C86" w:rsidP="006A22F2">
      <w:pPr>
        <w:pStyle w:val="aa"/>
        <w:numPr>
          <w:ilvl w:val="0"/>
          <w:numId w:val="12"/>
        </w:numPr>
        <w:spacing w:before="120" w:after="120"/>
        <w:contextualSpacing w:val="0"/>
        <w:jc w:val="both"/>
        <w:rPr>
          <w:rFonts w:ascii="Times New Roman" w:hAnsi="Times New Roman"/>
          <w:color w:val="000000"/>
          <w:sz w:val="24"/>
        </w:rPr>
      </w:pPr>
      <w:r w:rsidRPr="00F73C86">
        <w:rPr>
          <w:rFonts w:ascii="Times New Roman" w:hAnsi="Times New Roman"/>
          <w:color w:val="000000"/>
          <w:sz w:val="24"/>
        </w:rPr>
        <w:t xml:space="preserve">в Единой информационной системе в сфере закупок размещен </w:t>
      </w:r>
      <w:r w:rsidRPr="00F73C86">
        <w:rPr>
          <w:rFonts w:ascii="Times New Roman" w:hAnsi="Times New Roman"/>
          <w:b/>
          <w:color w:val="000000"/>
          <w:sz w:val="24"/>
        </w:rPr>
        <w:t>каталог товаров, работ, услуг для обеспечения государственных и муниципальных нужд</w:t>
      </w:r>
      <w:r w:rsidRPr="00F73C86">
        <w:rPr>
          <w:rFonts w:ascii="Times New Roman" w:hAnsi="Times New Roman"/>
          <w:color w:val="000000"/>
          <w:sz w:val="24"/>
        </w:rPr>
        <w:t>, использование которого способствует повышению прозрачности закупок и снижению коррупционных рисков, формированию референтных цен и повышению эффективности контроля в сфере закупок</w:t>
      </w:r>
      <w:r w:rsidR="00021CDC" w:rsidRPr="006860B5">
        <w:rPr>
          <w:rFonts w:ascii="Times New Roman" w:hAnsi="Times New Roman"/>
          <w:color w:val="000000"/>
          <w:sz w:val="24"/>
        </w:rPr>
        <w:t>.</w:t>
      </w:r>
    </w:p>
    <w:p w:rsidR="00021CDC" w:rsidRPr="006860B5" w:rsidRDefault="00021CDC" w:rsidP="006A22F2">
      <w:pPr>
        <w:pStyle w:val="aa"/>
        <w:numPr>
          <w:ilvl w:val="0"/>
          <w:numId w:val="11"/>
        </w:numPr>
        <w:spacing w:before="120" w:after="120"/>
        <w:contextualSpacing w:val="0"/>
        <w:jc w:val="both"/>
        <w:rPr>
          <w:rFonts w:ascii="Times New Roman" w:hAnsi="Times New Roman"/>
          <w:color w:val="000000"/>
          <w:sz w:val="24"/>
        </w:rPr>
      </w:pPr>
      <w:r>
        <w:rPr>
          <w:rFonts w:ascii="Times New Roman" w:hAnsi="Times New Roman"/>
          <w:color w:val="000000"/>
          <w:sz w:val="24"/>
        </w:rPr>
        <w:t xml:space="preserve">В сфере </w:t>
      </w:r>
      <w:r w:rsidRPr="00425EA0">
        <w:rPr>
          <w:rFonts w:ascii="Times New Roman" w:hAnsi="Times New Roman"/>
          <w:b/>
          <w:color w:val="000000"/>
          <w:sz w:val="24"/>
        </w:rPr>
        <w:t>управления ликвидностью Единого казначейского счета</w:t>
      </w:r>
      <w:r w:rsidR="00F73C86">
        <w:rPr>
          <w:rFonts w:ascii="Times New Roman" w:hAnsi="Times New Roman"/>
          <w:b/>
          <w:color w:val="000000"/>
          <w:sz w:val="24"/>
        </w:rPr>
        <w:t xml:space="preserve"> </w:t>
      </w:r>
      <w:r w:rsidR="00F73C86" w:rsidRPr="00F73C86">
        <w:rPr>
          <w:rFonts w:ascii="Times New Roman" w:hAnsi="Times New Roman"/>
          <w:color w:val="000000"/>
          <w:sz w:val="24"/>
        </w:rPr>
        <w:t>федерального бюджета</w:t>
      </w:r>
      <w:r w:rsidRPr="006860B5">
        <w:rPr>
          <w:rFonts w:ascii="Times New Roman" w:hAnsi="Times New Roman"/>
          <w:color w:val="000000"/>
          <w:sz w:val="24"/>
        </w:rPr>
        <w:t>:</w:t>
      </w:r>
    </w:p>
    <w:p w:rsidR="00F73C86" w:rsidRPr="00F73C86" w:rsidRDefault="00F73C86" w:rsidP="003A7132">
      <w:pPr>
        <w:numPr>
          <w:ilvl w:val="0"/>
          <w:numId w:val="16"/>
        </w:numPr>
        <w:spacing w:before="120" w:after="120"/>
        <w:ind w:left="714" w:hanging="357"/>
        <w:jc w:val="both"/>
        <w:rPr>
          <w:rFonts w:ascii="Times New Roman" w:hAnsi="Times New Roman"/>
          <w:color w:val="000000"/>
          <w:sz w:val="24"/>
        </w:rPr>
      </w:pPr>
      <w:r w:rsidRPr="00F73C86">
        <w:rPr>
          <w:rFonts w:ascii="Times New Roman" w:hAnsi="Times New Roman"/>
          <w:color w:val="000000"/>
          <w:sz w:val="24"/>
        </w:rPr>
        <w:t xml:space="preserve">запущен </w:t>
      </w:r>
      <w:r w:rsidRPr="00F73C86">
        <w:rPr>
          <w:rFonts w:ascii="Times New Roman" w:hAnsi="Times New Roman"/>
          <w:b/>
          <w:color w:val="000000"/>
          <w:sz w:val="24"/>
        </w:rPr>
        <w:t>новый механизм размещения средств федерального бюджета под плавающую ставку</w:t>
      </w:r>
      <w:r w:rsidRPr="00F73C86">
        <w:rPr>
          <w:rFonts w:ascii="Times New Roman" w:hAnsi="Times New Roman"/>
          <w:color w:val="000000"/>
          <w:sz w:val="24"/>
        </w:rPr>
        <w:t>, позволивший увеличить спрос на средства федерального бюджета, повысить сроки размещения временно свободных остатков средств на едином счете федерального бюджета в условиях цикла смягчения денежно-к</w:t>
      </w:r>
      <w:r>
        <w:rPr>
          <w:rFonts w:ascii="Times New Roman" w:hAnsi="Times New Roman"/>
          <w:color w:val="000000"/>
          <w:sz w:val="24"/>
        </w:rPr>
        <w:t>редитной политики Банка России; н</w:t>
      </w:r>
      <w:r w:rsidRPr="00F73C86">
        <w:rPr>
          <w:rFonts w:ascii="Times New Roman" w:hAnsi="Times New Roman"/>
          <w:color w:val="000000"/>
          <w:sz w:val="24"/>
        </w:rPr>
        <w:t>ачиная с декабря 2017 года размещения депозитов под плавающую ставку стали основным инструментом бюджетных размещений Федерального казначейства</w:t>
      </w:r>
      <w:r>
        <w:rPr>
          <w:rFonts w:ascii="Times New Roman" w:hAnsi="Times New Roman"/>
          <w:color w:val="000000"/>
          <w:sz w:val="24"/>
        </w:rPr>
        <w:t>;</w:t>
      </w:r>
    </w:p>
    <w:p w:rsidR="00866D20" w:rsidRPr="00756C21" w:rsidRDefault="00F73C86" w:rsidP="003A7132">
      <w:pPr>
        <w:numPr>
          <w:ilvl w:val="0"/>
          <w:numId w:val="16"/>
        </w:numPr>
        <w:spacing w:before="120" w:after="0"/>
        <w:ind w:left="714" w:hanging="357"/>
        <w:jc w:val="both"/>
        <w:rPr>
          <w:rFonts w:ascii="Times New Roman" w:hAnsi="Times New Roman"/>
          <w:color w:val="000000"/>
          <w:sz w:val="24"/>
        </w:rPr>
      </w:pPr>
      <w:r w:rsidRPr="00756C21">
        <w:rPr>
          <w:rFonts w:ascii="Times New Roman" w:hAnsi="Times New Roman"/>
          <w:color w:val="000000"/>
          <w:sz w:val="24"/>
        </w:rPr>
        <w:t xml:space="preserve">впервые Федеральному казначейству предоставлено право осуществления купли-продажи иностранной валюты на организованных торгах (наряду с куплей-продажей иностранной валюты в Банке России), а также заключения на организованных торгах договоров, являющихся производными финансовыми инструментами, предметом которых является иностранная валюта; заключение производных договоров типа </w:t>
      </w:r>
      <w:r w:rsidRPr="00756C21">
        <w:rPr>
          <w:rFonts w:ascii="Times New Roman" w:hAnsi="Times New Roman"/>
          <w:b/>
          <w:color w:val="000000"/>
          <w:sz w:val="24"/>
        </w:rPr>
        <w:t>«валютный своп»</w:t>
      </w:r>
      <w:r w:rsidRPr="00756C21">
        <w:rPr>
          <w:rFonts w:ascii="Times New Roman" w:hAnsi="Times New Roman"/>
          <w:color w:val="000000"/>
          <w:sz w:val="24"/>
        </w:rPr>
        <w:t xml:space="preserve"> позволит размещать и привлекать рублевые средства под залог иностранной валюты, что увеличит эффективность управления остатками, сократить их объем, позволяя при этом избежать риска наступления кассовых разрывов</w:t>
      </w:r>
      <w:r w:rsidR="00021CDC" w:rsidRPr="00756C21">
        <w:rPr>
          <w:rFonts w:ascii="Times New Roman" w:hAnsi="Times New Roman"/>
          <w:color w:val="000000"/>
          <w:sz w:val="24"/>
        </w:rPr>
        <w:t>.</w:t>
      </w:r>
      <w:r w:rsidR="00866D20" w:rsidRPr="00756C21">
        <w:rPr>
          <w:rFonts w:ascii="Times New Roman" w:hAnsi="Times New Roman"/>
          <w:color w:val="000000"/>
          <w:sz w:val="24"/>
        </w:rPr>
        <w:br w:type="page"/>
      </w:r>
    </w:p>
    <w:p w:rsidR="00F73C86" w:rsidRPr="00721351" w:rsidRDefault="00F73C86" w:rsidP="00F73C86">
      <w:pPr>
        <w:pStyle w:val="20"/>
        <w:numPr>
          <w:ilvl w:val="1"/>
          <w:numId w:val="3"/>
        </w:numPr>
        <w:spacing w:before="240" w:after="240"/>
        <w:rPr>
          <w:rFonts w:ascii="Times New Roman" w:hAnsi="Times New Roman"/>
          <w:sz w:val="28"/>
          <w:szCs w:val="28"/>
        </w:rPr>
      </w:pPr>
      <w:bookmarkStart w:id="13" w:name="_Toc518648648"/>
      <w:r w:rsidRPr="00721351">
        <w:rPr>
          <w:rFonts w:ascii="Times New Roman" w:hAnsi="Times New Roman"/>
          <w:sz w:val="28"/>
          <w:szCs w:val="28"/>
        </w:rPr>
        <w:lastRenderedPageBreak/>
        <w:t>ТАМОЖЕННО-ТАРИФНОЕ РЕГУЛИРОВАНИЕ</w:t>
      </w:r>
      <w:bookmarkEnd w:id="13"/>
    </w:p>
    <w:p w:rsidR="00F73C86" w:rsidRPr="00F73C86" w:rsidRDefault="00F73C86" w:rsidP="00F73C86">
      <w:pPr>
        <w:jc w:val="both"/>
        <w:rPr>
          <w:rFonts w:ascii="Times New Roman" w:hAnsi="Times New Roman"/>
          <w:color w:val="000000"/>
          <w:sz w:val="24"/>
          <w:szCs w:val="24"/>
        </w:rPr>
      </w:pPr>
      <w:r w:rsidRPr="00F73C86">
        <w:rPr>
          <w:rFonts w:ascii="Times New Roman" w:hAnsi="Times New Roman"/>
          <w:color w:val="000000"/>
          <w:sz w:val="24"/>
          <w:szCs w:val="24"/>
        </w:rPr>
        <w:t xml:space="preserve">С 1 января 2018 года вступил в силу Таможенный кодекс Евразийского экономического союза (Союз, Кодекс Союза), применение положений которого позволит обеспечить ускорение и упрощение перемещения товаров через таможенную границу Евразийского экономического союза, сокращение издержек у лиц в связи с </w:t>
      </w:r>
      <w:r w:rsidR="00F653BD">
        <w:rPr>
          <w:rFonts w:ascii="Times New Roman" w:hAnsi="Times New Roman"/>
          <w:color w:val="000000"/>
          <w:sz w:val="24"/>
          <w:szCs w:val="24"/>
        </w:rPr>
        <w:t xml:space="preserve">облегчением </w:t>
      </w:r>
      <w:r w:rsidR="00F653BD" w:rsidRPr="00F73C86">
        <w:rPr>
          <w:rFonts w:ascii="Times New Roman" w:hAnsi="Times New Roman"/>
          <w:color w:val="000000"/>
          <w:sz w:val="24"/>
          <w:szCs w:val="24"/>
        </w:rPr>
        <w:t>таможенн</w:t>
      </w:r>
      <w:r w:rsidR="00F653BD">
        <w:rPr>
          <w:rFonts w:ascii="Times New Roman" w:hAnsi="Times New Roman"/>
          <w:color w:val="000000"/>
          <w:sz w:val="24"/>
          <w:szCs w:val="24"/>
        </w:rPr>
        <w:t>ого</w:t>
      </w:r>
      <w:r w:rsidR="00F653BD" w:rsidRPr="00F73C86">
        <w:rPr>
          <w:rFonts w:ascii="Times New Roman" w:hAnsi="Times New Roman"/>
          <w:color w:val="000000"/>
          <w:sz w:val="24"/>
          <w:szCs w:val="24"/>
        </w:rPr>
        <w:t xml:space="preserve"> оформления</w:t>
      </w:r>
      <w:r w:rsidRPr="00F73C86">
        <w:rPr>
          <w:rFonts w:ascii="Times New Roman" w:hAnsi="Times New Roman"/>
          <w:color w:val="000000"/>
          <w:sz w:val="24"/>
          <w:szCs w:val="24"/>
        </w:rPr>
        <w:t>, а также позволит снизить административное влияние на</w:t>
      </w:r>
      <w:r>
        <w:rPr>
          <w:rFonts w:ascii="Times New Roman" w:hAnsi="Times New Roman"/>
          <w:color w:val="000000"/>
          <w:sz w:val="24"/>
          <w:szCs w:val="24"/>
        </w:rPr>
        <w:t xml:space="preserve"> деятельность предпринимателей. </w:t>
      </w:r>
      <w:r w:rsidRPr="00F73C86">
        <w:rPr>
          <w:rFonts w:ascii="Times New Roman" w:hAnsi="Times New Roman"/>
          <w:color w:val="000000"/>
          <w:sz w:val="24"/>
          <w:szCs w:val="24"/>
        </w:rPr>
        <w:t>В настоящее время осуществляется работа по приведению законодательства Российской Федерации о таможенном деле в соответствие с Кодексом Союза.</w:t>
      </w:r>
    </w:p>
    <w:p w:rsidR="00F73C86" w:rsidRDefault="00F73C86" w:rsidP="00F73C86">
      <w:pPr>
        <w:jc w:val="both"/>
        <w:rPr>
          <w:rFonts w:ascii="Times New Roman" w:hAnsi="Times New Roman"/>
          <w:color w:val="000000"/>
          <w:sz w:val="24"/>
          <w:szCs w:val="24"/>
        </w:rPr>
      </w:pPr>
      <w:r w:rsidRPr="00F73C86">
        <w:rPr>
          <w:rFonts w:ascii="Times New Roman" w:hAnsi="Times New Roman"/>
          <w:color w:val="000000"/>
          <w:sz w:val="24"/>
          <w:szCs w:val="24"/>
        </w:rPr>
        <w:t>В рамках Комплексной программы развития ФТС России на период до 2020 года реализовывались мероприятия по концентрации декларирования товаров на таможенных постах – центрах электронного декларирования, которые к 2020 году должны стать основными местами электронного декларирования товаров</w:t>
      </w:r>
      <w:r>
        <w:rPr>
          <w:rFonts w:ascii="Times New Roman" w:hAnsi="Times New Roman"/>
          <w:color w:val="000000"/>
          <w:sz w:val="24"/>
          <w:szCs w:val="24"/>
        </w:rPr>
        <w:t>.</w:t>
      </w:r>
    </w:p>
    <w:p w:rsidR="00F73C86" w:rsidRPr="00F73C86" w:rsidRDefault="00F73C86" w:rsidP="00F73C86">
      <w:pPr>
        <w:jc w:val="both"/>
        <w:rPr>
          <w:rFonts w:ascii="Times New Roman" w:hAnsi="Times New Roman"/>
          <w:color w:val="000000"/>
          <w:sz w:val="24"/>
          <w:szCs w:val="24"/>
        </w:rPr>
      </w:pPr>
      <w:r w:rsidRPr="00F73C86">
        <w:rPr>
          <w:rFonts w:ascii="Times New Roman" w:hAnsi="Times New Roman"/>
          <w:color w:val="000000"/>
          <w:sz w:val="24"/>
          <w:szCs w:val="24"/>
        </w:rPr>
        <w:t>Начата работа по подготовке нормативно-правовой и информационно-технической базы для проведения эксперимента по совершенствованию таможенных операций в отношении ввозимых товаров для личного пользования, приобретаемых физическими лицами на интернет-площадках и пересылаемых в международных почтовых отправлениях и доставляемых экспресс-перевозчиками в рамках трансграничной интернет-торговли. Данный эксперимент позволит освободить физических лиц от необходимости совершения таможенных операций, в том числе с участием таможенного представителя, а также от необходимости оплаты таможенных платежей непосредственно в месте получения посылок.</w:t>
      </w:r>
    </w:p>
    <w:p w:rsidR="001315B4" w:rsidRPr="0012612E" w:rsidRDefault="00EA671A" w:rsidP="00F73C86">
      <w:pPr>
        <w:jc w:val="both"/>
        <w:rPr>
          <w:rFonts w:ascii="Times New Roman" w:hAnsi="Times New Roman"/>
          <w:color w:val="000000"/>
          <w:sz w:val="24"/>
        </w:rPr>
      </w:pPr>
      <w:r>
        <w:br w:type="page"/>
      </w:r>
    </w:p>
    <w:p w:rsidR="004E2069" w:rsidRPr="0026604C" w:rsidRDefault="004E2069" w:rsidP="006409B2">
      <w:pPr>
        <w:pStyle w:val="10"/>
        <w:numPr>
          <w:ilvl w:val="0"/>
          <w:numId w:val="3"/>
        </w:numPr>
        <w:spacing w:after="240"/>
        <w:rPr>
          <w:szCs w:val="32"/>
        </w:rPr>
      </w:pPr>
      <w:bookmarkStart w:id="14" w:name="_Toc518648649"/>
      <w:r w:rsidRPr="0026604C">
        <w:rPr>
          <w:szCs w:val="32"/>
        </w:rPr>
        <w:lastRenderedPageBreak/>
        <w:t>УСЛОВИЯ РЕАЛИЗАЦИИ БЮДЖЕТНОЙ, НАЛОГОВОЙ И ТАМОЖЕННО-ТАРИФНОЙ ПОЛИТИКИ</w:t>
      </w:r>
      <w:r w:rsidR="000470E5">
        <w:rPr>
          <w:szCs w:val="32"/>
        </w:rPr>
        <w:t xml:space="preserve"> В 2019</w:t>
      </w:r>
      <w:r w:rsidR="0043253A">
        <w:rPr>
          <w:szCs w:val="32"/>
        </w:rPr>
        <w:t>-202</w:t>
      </w:r>
      <w:r w:rsidR="000470E5">
        <w:rPr>
          <w:szCs w:val="32"/>
        </w:rPr>
        <w:t>1</w:t>
      </w:r>
      <w:bookmarkEnd w:id="14"/>
    </w:p>
    <w:p w:rsidR="004E2069" w:rsidRPr="0026604C" w:rsidRDefault="004E2069" w:rsidP="00E60144">
      <w:pPr>
        <w:pStyle w:val="20"/>
        <w:numPr>
          <w:ilvl w:val="1"/>
          <w:numId w:val="3"/>
        </w:numPr>
        <w:spacing w:before="240" w:after="240"/>
        <w:rPr>
          <w:rFonts w:ascii="Times New Roman" w:hAnsi="Times New Roman"/>
          <w:sz w:val="28"/>
          <w:szCs w:val="28"/>
        </w:rPr>
      </w:pPr>
      <w:bookmarkStart w:id="15" w:name="_Toc518648650"/>
      <w:r w:rsidRPr="0026604C">
        <w:rPr>
          <w:rFonts w:ascii="Times New Roman" w:hAnsi="Times New Roman"/>
          <w:sz w:val="28"/>
          <w:szCs w:val="28"/>
        </w:rPr>
        <w:t>ВНЕШНИЕ УСЛОВИЯ</w:t>
      </w:r>
      <w:bookmarkEnd w:id="15"/>
    </w:p>
    <w:p w:rsidR="004E2069" w:rsidRPr="00E25998" w:rsidRDefault="00756C21" w:rsidP="002425FB">
      <w:pPr>
        <w:spacing w:before="120" w:after="120"/>
        <w:jc w:val="both"/>
        <w:rPr>
          <w:rFonts w:ascii="Times New Roman" w:hAnsi="Times New Roman"/>
          <w:sz w:val="24"/>
          <w:szCs w:val="24"/>
        </w:rPr>
      </w:pPr>
      <w:r w:rsidRPr="00756C21">
        <w:rPr>
          <w:rFonts w:ascii="Times New Roman" w:hAnsi="Times New Roman"/>
          <w:sz w:val="24"/>
          <w:szCs w:val="24"/>
        </w:rPr>
        <w:t>Внешнеэкономические условия развития российской экономики по-прежнему будут носить разнонаправленный характер. Уверенное восстановление мировой экономики и, как следствие, внешнего спроса будет сопровождаться ужесточением условий финансирования на мировых рынках вслед за постепенной нормализацией денежно-кредитной политики центральными банками развитых стран. Нерешенность структурных проблем в отдельных крупных развивающихся экономиках, а также геополитические риски могут стать дополнительными вызовами</w:t>
      </w:r>
      <w:r w:rsidR="004E2069" w:rsidRPr="00E25998">
        <w:rPr>
          <w:rFonts w:ascii="Times New Roman" w:hAnsi="Times New Roman"/>
          <w:sz w:val="24"/>
          <w:szCs w:val="24"/>
        </w:rPr>
        <w:t>.</w:t>
      </w:r>
    </w:p>
    <w:p w:rsidR="004E2069" w:rsidRPr="00CD3A91" w:rsidRDefault="004E2069" w:rsidP="005758A0">
      <w:pPr>
        <w:spacing w:before="120" w:after="120"/>
        <w:jc w:val="both"/>
        <w:rPr>
          <w:rFonts w:ascii="Times New Roman" w:hAnsi="Times New Roman"/>
          <w:b/>
          <w:sz w:val="28"/>
          <w:szCs w:val="24"/>
        </w:rPr>
      </w:pPr>
      <w:r w:rsidRPr="008C526F">
        <w:rPr>
          <w:rFonts w:ascii="Times New Roman" w:hAnsi="Times New Roman"/>
          <w:b/>
          <w:sz w:val="28"/>
          <w:szCs w:val="24"/>
        </w:rPr>
        <w:t>Внешний спрос</w:t>
      </w:r>
    </w:p>
    <w:p w:rsidR="00756C21" w:rsidRPr="00756C21" w:rsidRDefault="00756C21" w:rsidP="00756C21">
      <w:pPr>
        <w:spacing w:before="120" w:after="120"/>
        <w:jc w:val="both"/>
        <w:rPr>
          <w:rFonts w:ascii="Times New Roman" w:hAnsi="Times New Roman"/>
          <w:sz w:val="24"/>
          <w:szCs w:val="24"/>
        </w:rPr>
      </w:pPr>
      <w:r w:rsidRPr="00756C21">
        <w:rPr>
          <w:rFonts w:ascii="Times New Roman" w:hAnsi="Times New Roman"/>
          <w:sz w:val="24"/>
          <w:szCs w:val="24"/>
        </w:rPr>
        <w:t>Начавший ускоряться во второй половине 2016 года рост мировой экономики дополнительно усилился в прошедшем году. По итогам 2017 года темпы роста мировой экономики по оценкам МВФ достигли 3,8% (на 0,6 п.п. выше, чем в 2016 году), что отразилось в увеличении темпов прироста инвестиций, производственной активности и торговли. При этом наращивание экономической активности происходило широким фронтом как в развитых, так и в развивающихся странах.</w:t>
      </w:r>
    </w:p>
    <w:p w:rsidR="00756C21" w:rsidRPr="00756C21" w:rsidRDefault="00756C21" w:rsidP="00756C21">
      <w:pPr>
        <w:spacing w:before="120" w:after="120"/>
        <w:jc w:val="both"/>
        <w:rPr>
          <w:rFonts w:ascii="Times New Roman" w:hAnsi="Times New Roman"/>
          <w:sz w:val="24"/>
          <w:szCs w:val="24"/>
        </w:rPr>
      </w:pPr>
      <w:r w:rsidRPr="00756C21">
        <w:rPr>
          <w:rFonts w:ascii="Times New Roman" w:hAnsi="Times New Roman"/>
          <w:sz w:val="24"/>
          <w:szCs w:val="24"/>
        </w:rPr>
        <w:t>В 2018 году ожидается сохранение высоких темпов роста</w:t>
      </w:r>
      <w:r w:rsidR="00F653BD">
        <w:rPr>
          <w:rFonts w:ascii="Times New Roman" w:hAnsi="Times New Roman"/>
          <w:sz w:val="24"/>
          <w:szCs w:val="24"/>
        </w:rPr>
        <w:t xml:space="preserve"> мировой экономики</w:t>
      </w:r>
      <w:r w:rsidRPr="00756C21">
        <w:rPr>
          <w:rFonts w:ascii="Times New Roman" w:hAnsi="Times New Roman"/>
          <w:sz w:val="24"/>
          <w:szCs w:val="24"/>
        </w:rPr>
        <w:t xml:space="preserve">: прогноз МВФ составляет 3,9%, а опережающие индикаторы подтверждают реалистичность позитивных прогнозов. Тем не менее, стоит отметить, что </w:t>
      </w:r>
      <w:r w:rsidRPr="00756C21">
        <w:rPr>
          <w:rFonts w:ascii="Times New Roman" w:hAnsi="Times New Roman"/>
          <w:b/>
          <w:sz w:val="24"/>
          <w:szCs w:val="24"/>
        </w:rPr>
        <w:t>наблюдаемое ускорение мирового роста в существенной мере носит циклический характер</w:t>
      </w:r>
      <w:r w:rsidRPr="00756C21">
        <w:rPr>
          <w:rFonts w:ascii="Times New Roman" w:hAnsi="Times New Roman"/>
          <w:sz w:val="24"/>
          <w:szCs w:val="24"/>
        </w:rPr>
        <w:t xml:space="preserve">, в значительной мере связанный с окончательным преодолением последствий долгового кризиса. </w:t>
      </w:r>
    </w:p>
    <w:p w:rsidR="00756C21" w:rsidRPr="00756C21" w:rsidRDefault="00756C21" w:rsidP="00756C21">
      <w:pPr>
        <w:spacing w:before="120" w:after="120"/>
        <w:jc w:val="both"/>
        <w:rPr>
          <w:rFonts w:ascii="Times New Roman" w:hAnsi="Times New Roman"/>
          <w:sz w:val="24"/>
          <w:szCs w:val="24"/>
        </w:rPr>
      </w:pPr>
      <w:r w:rsidRPr="00756C21">
        <w:rPr>
          <w:rFonts w:ascii="Times New Roman" w:hAnsi="Times New Roman"/>
          <w:sz w:val="24"/>
          <w:szCs w:val="24"/>
        </w:rPr>
        <w:t xml:space="preserve">В этой связи в среднесрочной перспективе ожидается замедление темпов мирового роста. После циклического восстановления, большинство страны с развитой экономикой вернутся к потенциальным темпам роста, которые значительно отстают от докризисных уровней вследствие старения населения и замедления темпов роста (а в отдельных случаях сокращения) рабочей силы, а также сдержанного роста производительности труда. </w:t>
      </w:r>
    </w:p>
    <w:p w:rsidR="00756C21" w:rsidRPr="00756C21" w:rsidRDefault="00756C21" w:rsidP="00756C21">
      <w:pPr>
        <w:spacing w:before="120" w:after="120"/>
        <w:jc w:val="both"/>
        <w:rPr>
          <w:rFonts w:ascii="Times New Roman" w:hAnsi="Times New Roman"/>
          <w:sz w:val="24"/>
          <w:szCs w:val="24"/>
        </w:rPr>
      </w:pPr>
      <w:r w:rsidRPr="00756C21">
        <w:rPr>
          <w:rFonts w:ascii="Times New Roman" w:hAnsi="Times New Roman"/>
          <w:sz w:val="24"/>
          <w:szCs w:val="24"/>
        </w:rPr>
        <w:t>Рост ВВП в США замедлится к 2020 году после исчерпания эффекта от смягчения налоговой политики. Темпы роста экономики Китая продолжат нисходящий тренд по мере замедления роста кредитования и фискальных стимулов. Сохраняются риски развития банковского кризиса в Китае (на фоне все большего расхождения темпов роста кредитования и темпов экономического роста).</w:t>
      </w:r>
    </w:p>
    <w:p w:rsidR="004A7D25" w:rsidRPr="00756C21" w:rsidRDefault="00756C21" w:rsidP="00756C21">
      <w:pPr>
        <w:spacing w:before="120" w:after="120"/>
        <w:jc w:val="both"/>
        <w:rPr>
          <w:rFonts w:ascii="Times New Roman" w:hAnsi="Times New Roman"/>
          <w:sz w:val="24"/>
          <w:szCs w:val="24"/>
        </w:rPr>
      </w:pPr>
      <w:r w:rsidRPr="00756C21">
        <w:rPr>
          <w:rFonts w:ascii="Times New Roman" w:hAnsi="Times New Roman"/>
          <w:sz w:val="24"/>
          <w:szCs w:val="24"/>
        </w:rPr>
        <w:t xml:space="preserve">Несмотря на значимое ускорение темпов роста, </w:t>
      </w:r>
      <w:r w:rsidRPr="00756C21">
        <w:rPr>
          <w:rFonts w:ascii="Times New Roman" w:hAnsi="Times New Roman"/>
          <w:b/>
          <w:sz w:val="24"/>
          <w:szCs w:val="24"/>
        </w:rPr>
        <w:t>глобальная инфляция пока не показывает выраженного ускорения</w:t>
      </w:r>
      <w:r w:rsidRPr="00756C21">
        <w:rPr>
          <w:rFonts w:ascii="Times New Roman" w:hAnsi="Times New Roman"/>
          <w:sz w:val="24"/>
          <w:szCs w:val="24"/>
        </w:rPr>
        <w:t>, что позволяет центральным банкам большинства стран сохранять мягкую денежно-кредитную политику. Тем не менее, в среднесрочной перспективе необходимо учитывать риски, связанные с началом процессов ужесточения ДКП и, соответственно, финансовых условий на мировых рынках капитала</w:t>
      </w:r>
      <w:r w:rsidR="004A7D25" w:rsidRPr="00756C21">
        <w:rPr>
          <w:rFonts w:ascii="Times New Roman" w:hAnsi="Times New Roman"/>
          <w:sz w:val="24"/>
          <w:szCs w:val="24"/>
        </w:rPr>
        <w:t>.</w:t>
      </w:r>
    </w:p>
    <w:p w:rsidR="00186385" w:rsidRDefault="00756C21" w:rsidP="0015016A">
      <w:pPr>
        <w:spacing w:before="120" w:after="120"/>
        <w:jc w:val="both"/>
        <w:rPr>
          <w:rFonts w:ascii="Times New Roman" w:hAnsi="Times New Roman"/>
          <w:sz w:val="24"/>
          <w:szCs w:val="24"/>
        </w:rPr>
      </w:pPr>
      <w:r w:rsidRPr="008C0987">
        <w:rPr>
          <w:noProof/>
          <w:lang w:eastAsia="ru-RU"/>
        </w:rPr>
        <w:lastRenderedPageBreak/>
        <mc:AlternateContent>
          <mc:Choice Requires="wps">
            <w:drawing>
              <wp:anchor distT="45720" distB="45720" distL="114300" distR="114300" simplePos="0" relativeHeight="251659776" behindDoc="0" locked="0" layoutInCell="1" allowOverlap="1" wp14:anchorId="048BB86C" wp14:editId="7F2EC905">
                <wp:simplePos x="0" y="0"/>
                <wp:positionH relativeFrom="margin">
                  <wp:posOffset>-33655</wp:posOffset>
                </wp:positionH>
                <wp:positionV relativeFrom="paragraph">
                  <wp:posOffset>52705</wp:posOffset>
                </wp:positionV>
                <wp:extent cx="5851525" cy="8740140"/>
                <wp:effectExtent l="0" t="0" r="0" b="3810"/>
                <wp:wrapSquare wrapText="bothSides"/>
                <wp:docPr id="10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8740140"/>
                        </a:xfrm>
                        <a:prstGeom prst="rect">
                          <a:avLst/>
                        </a:prstGeom>
                        <a:solidFill>
                          <a:schemeClr val="bg1">
                            <a:lumMod val="95000"/>
                          </a:schemeClr>
                        </a:solidFill>
                        <a:ln w="9525">
                          <a:noFill/>
                          <a:miter lim="800000"/>
                          <a:headEnd/>
                          <a:tailEnd/>
                        </a:ln>
                      </wps:spPr>
                      <wps:txbx>
                        <w:txbxContent>
                          <w:p w:rsidR="003A7132" w:rsidRDefault="003A7132" w:rsidP="001D0CDF">
                            <w:pPr>
                              <w:spacing w:after="120"/>
                              <w:rPr>
                                <w:rFonts w:ascii="Times New Roman" w:hAnsi="Times New Roman"/>
                                <w:b/>
                                <w:sz w:val="24"/>
                                <w:szCs w:val="24"/>
                              </w:rPr>
                            </w:pPr>
                            <w:r w:rsidRPr="00756C21">
                              <w:rPr>
                                <w:rFonts w:ascii="Times New Roman" w:hAnsi="Times New Roman"/>
                                <w:b/>
                                <w:sz w:val="24"/>
                                <w:szCs w:val="24"/>
                              </w:rPr>
                              <w:t>Денежно-кредитная политика крупнейших развитых стран</w:t>
                            </w:r>
                          </w:p>
                          <w:p w:rsidR="003A7132" w:rsidRPr="00756C21" w:rsidRDefault="003A7132" w:rsidP="00756C21">
                            <w:pPr>
                              <w:spacing w:before="120" w:after="0"/>
                              <w:jc w:val="both"/>
                              <w:rPr>
                                <w:rFonts w:ascii="Times New Roman" w:hAnsi="Times New Roman"/>
                                <w:sz w:val="20"/>
                                <w:szCs w:val="20"/>
                              </w:rPr>
                            </w:pPr>
                            <w:r w:rsidRPr="00756C21">
                              <w:rPr>
                                <w:rFonts w:ascii="Times New Roman" w:hAnsi="Times New Roman"/>
                                <w:sz w:val="20"/>
                                <w:szCs w:val="20"/>
                              </w:rPr>
                              <w:t xml:space="preserve">Процентные ставки </w:t>
                            </w:r>
                            <w:r w:rsidRPr="00756C21">
                              <w:rPr>
                                <w:rFonts w:ascii="Times New Roman" w:hAnsi="Times New Roman"/>
                                <w:b/>
                                <w:sz w:val="20"/>
                                <w:szCs w:val="20"/>
                              </w:rPr>
                              <w:t>ЕЦБ</w:t>
                            </w:r>
                            <w:r w:rsidRPr="00756C21">
                              <w:rPr>
                                <w:rFonts w:ascii="Times New Roman" w:hAnsi="Times New Roman"/>
                                <w:sz w:val="20"/>
                                <w:szCs w:val="20"/>
                              </w:rPr>
                              <w:t xml:space="preserve"> сохраняются вблизи нуля (ключевая процентная ставка составляет 0%, ставка по депозитам в центральном банке -0,4%) и осуществляется покупки активов на открытом рынке. В июне 2018 года ЕЦБ сообщил, что ожидает сохранения нулевых ставок до лета 2019 г. а покупки по программе покупки активов будут продолжаться в течение всего 2018 г., после чего они должны прекратиться. После этого, для сохранения стимулирующего эффекта ЕЦБ планирует продолжать реинвестировать доходы от погашения активов, поддерживая показатели баланса неизменными еще какое-то время.</w:t>
                            </w:r>
                          </w:p>
                          <w:p w:rsidR="003A7132" w:rsidRPr="00756C21" w:rsidRDefault="003A7132" w:rsidP="00756C21">
                            <w:pPr>
                              <w:spacing w:before="120" w:after="0"/>
                              <w:jc w:val="both"/>
                              <w:rPr>
                                <w:rFonts w:ascii="Times New Roman" w:hAnsi="Times New Roman"/>
                                <w:sz w:val="20"/>
                                <w:szCs w:val="20"/>
                              </w:rPr>
                            </w:pPr>
                            <w:r w:rsidRPr="00756C21">
                              <w:rPr>
                                <w:rFonts w:ascii="Times New Roman" w:hAnsi="Times New Roman"/>
                                <w:sz w:val="20"/>
                                <w:szCs w:val="20"/>
                              </w:rPr>
                              <w:t xml:space="preserve">Определяющая денежно-кредитную политику </w:t>
                            </w:r>
                            <w:r w:rsidRPr="00756C21">
                              <w:rPr>
                                <w:rFonts w:ascii="Times New Roman" w:hAnsi="Times New Roman"/>
                                <w:b/>
                                <w:sz w:val="20"/>
                                <w:szCs w:val="20"/>
                              </w:rPr>
                              <w:t>Банка Англии</w:t>
                            </w:r>
                            <w:r w:rsidRPr="00756C21">
                              <w:rPr>
                                <w:rFonts w:ascii="Times New Roman" w:hAnsi="Times New Roman"/>
                                <w:sz w:val="20"/>
                                <w:szCs w:val="20"/>
                              </w:rPr>
                              <w:t xml:space="preserve"> ставка в ноябре 2017 г. была повышена на 25 б.п. до 0,5% годовых, что стало следствием ускорения инфляции после выхода Великобритании из ЕС. Согласно заявлению Комитета по денежной политике к итогам заседания в июне 2018 года в ближайшее время может потребоваться дополнительное ужесточение </w:t>
                            </w:r>
                            <w:r>
                              <w:rPr>
                                <w:rFonts w:ascii="Times New Roman" w:hAnsi="Times New Roman"/>
                                <w:sz w:val="20"/>
                                <w:szCs w:val="20"/>
                              </w:rPr>
                              <w:t>ДКП</w:t>
                            </w:r>
                            <w:r w:rsidRPr="00756C21">
                              <w:rPr>
                                <w:rFonts w:ascii="Times New Roman" w:hAnsi="Times New Roman"/>
                                <w:sz w:val="20"/>
                                <w:szCs w:val="20"/>
                              </w:rPr>
                              <w:t xml:space="preserve"> с целью достижения цели по инфляции, однако изменения ставки будут плавными и ограниченными по величине. Банк Англии намерен приступить к сокращению своего баланса после достижения ставкой денежного рынка уровня 1,5% годовых. Ранее планировалась начать этот процесс при достижении 2% годовых.</w:t>
                            </w:r>
                          </w:p>
                          <w:p w:rsidR="003A7132" w:rsidRPr="00756C21" w:rsidRDefault="003A7132" w:rsidP="00756C21">
                            <w:pPr>
                              <w:spacing w:before="120" w:after="0"/>
                              <w:jc w:val="both"/>
                              <w:rPr>
                                <w:rFonts w:ascii="Times New Roman" w:hAnsi="Times New Roman"/>
                                <w:sz w:val="20"/>
                                <w:szCs w:val="20"/>
                              </w:rPr>
                            </w:pPr>
                            <w:r w:rsidRPr="00756C21">
                              <w:rPr>
                                <w:rFonts w:ascii="Times New Roman" w:hAnsi="Times New Roman"/>
                                <w:sz w:val="20"/>
                                <w:szCs w:val="20"/>
                              </w:rPr>
                              <w:t xml:space="preserve">В США восстановление экономики началось раньше и идет быстрее, чем в большинстве развитых стран. </w:t>
                            </w:r>
                            <w:r>
                              <w:rPr>
                                <w:rFonts w:ascii="Times New Roman" w:hAnsi="Times New Roman"/>
                                <w:b/>
                                <w:sz w:val="20"/>
                                <w:szCs w:val="20"/>
                              </w:rPr>
                              <w:t>ФРС</w:t>
                            </w:r>
                            <w:r w:rsidRPr="00756C21">
                              <w:rPr>
                                <w:rFonts w:ascii="Times New Roman" w:hAnsi="Times New Roman"/>
                                <w:sz w:val="20"/>
                                <w:szCs w:val="20"/>
                              </w:rPr>
                              <w:t xml:space="preserve"> США продолжает повышение целевой ставки федеральных фондов. В первой половине 2018 года произошло уже два повышения. На июньском заседании руководители ФРС США сообщили об ожиданиях еще двух повышений ставки во второй половине года. Объем ценных бумаг на балансе ФРС США к концу июня текущего года сократился на 130 млрд. долл. США с пиковых значений, достигнутых в апреле 2017 года. Нормализация денежно-кредитной политики и ожидания дальнейшего роста долларовых ставок оказывают давление на цены рискованных активов по всему миру, а также способствуют к оттоку капитала с рынков развивающихся стран, в том числе из России.</w:t>
                            </w:r>
                          </w:p>
                          <w:p w:rsidR="003A7132" w:rsidRDefault="003A7132" w:rsidP="00756C21">
                            <w:pPr>
                              <w:spacing w:before="120" w:after="0"/>
                              <w:jc w:val="both"/>
                              <w:rPr>
                                <w:rFonts w:ascii="Times New Roman" w:hAnsi="Times New Roman"/>
                                <w:sz w:val="20"/>
                                <w:szCs w:val="20"/>
                              </w:rPr>
                            </w:pPr>
                            <w:r w:rsidRPr="00756C21">
                              <w:rPr>
                                <w:rFonts w:ascii="Times New Roman" w:hAnsi="Times New Roman"/>
                                <w:b/>
                                <w:sz w:val="20"/>
                                <w:szCs w:val="20"/>
                              </w:rPr>
                              <w:t>Банк Японии</w:t>
                            </w:r>
                            <w:r w:rsidRPr="00756C21">
                              <w:rPr>
                                <w:rFonts w:ascii="Times New Roman" w:hAnsi="Times New Roman"/>
                                <w:sz w:val="20"/>
                                <w:szCs w:val="20"/>
                              </w:rPr>
                              <w:t xml:space="preserve"> в текущий момент держит отрицательную ключевую процентную ставку (-0,1%) и проводит масштабную программу выкупа финансовых активов, таргетируя доходность 10-летних облигаций вблизи нулевого уровня. Стенограммы последних заседаний говорят о том, что монетарные власти Японии планирует продолжить программу количественного смягчения и управление формой временной кривой доходности до тех пор, пока инфляция не достигнет целевых 2% и не стабилизируется на этом уровне</w:t>
                            </w:r>
                            <w:r>
                              <w:rPr>
                                <w:rFonts w:ascii="Times New Roman" w:hAnsi="Times New Roman"/>
                                <w:sz w:val="20"/>
                                <w:szCs w:val="20"/>
                              </w:rPr>
                              <w:t xml:space="preserve">. </w:t>
                            </w:r>
                          </w:p>
                          <w:tbl>
                            <w:tblPr>
                              <w:tblStyle w:val="Smalltable"/>
                              <w:tblW w:w="10172" w:type="dxa"/>
                              <w:tblInd w:w="0" w:type="dxa"/>
                              <w:tblLook w:val="04A0" w:firstRow="1" w:lastRow="0" w:firstColumn="1" w:lastColumn="0" w:noHBand="0" w:noVBand="1"/>
                            </w:tblPr>
                            <w:tblGrid>
                              <w:gridCol w:w="4596"/>
                              <w:gridCol w:w="222"/>
                              <w:gridCol w:w="4566"/>
                              <w:gridCol w:w="788"/>
                            </w:tblGrid>
                            <w:tr w:rsidR="003A7132" w:rsidRPr="00E65DE3" w:rsidTr="00756C21">
                              <w:trPr>
                                <w:gridAfter w:val="1"/>
                                <w:wAfter w:w="788" w:type="dxa"/>
                                <w:trHeight w:val="198"/>
                              </w:trPr>
                              <w:tc>
                                <w:tcPr>
                                  <w:tcW w:w="4596" w:type="dxa"/>
                                  <w:shd w:val="clear" w:color="auto" w:fill="auto"/>
                                </w:tcPr>
                                <w:p w:rsidR="003A7132" w:rsidRPr="008B3C4E" w:rsidRDefault="003A7132" w:rsidP="001D0CDF">
                                  <w:pPr>
                                    <w:pStyle w:val="GraphTitle"/>
                                    <w:spacing w:after="0"/>
                                    <w:rPr>
                                      <w:rFonts w:ascii="Times New Roman" w:hAnsi="Times New Roman" w:cs="Times New Roman"/>
                                      <w:b/>
                                      <w:sz w:val="20"/>
                                      <w:szCs w:val="20"/>
                                      <w:lang w:val="ru-RU"/>
                                    </w:rPr>
                                  </w:pPr>
                                  <w:r w:rsidRPr="00756C21">
                                    <w:rPr>
                                      <w:rFonts w:ascii="Times New Roman" w:hAnsi="Times New Roman" w:cs="Times New Roman"/>
                                      <w:b/>
                                      <w:sz w:val="20"/>
                                      <w:szCs w:val="20"/>
                                      <w:lang w:val="ru-RU"/>
                                    </w:rPr>
                                    <w:t>Балансы центральных банков, % от ВВП</w:t>
                                  </w:r>
                                </w:p>
                              </w:tc>
                              <w:tc>
                                <w:tcPr>
                                  <w:tcW w:w="222" w:type="dxa"/>
                                  <w:shd w:val="clear" w:color="auto" w:fill="auto"/>
                                </w:tcPr>
                                <w:p w:rsidR="003A7132" w:rsidRPr="00E65DE3" w:rsidRDefault="003A7132" w:rsidP="001D0CDF">
                                  <w:pPr>
                                    <w:pStyle w:val="GraphTitle"/>
                                    <w:spacing w:after="0"/>
                                    <w:rPr>
                                      <w:rFonts w:ascii="Times New Roman" w:hAnsi="Times New Roman" w:cs="Times New Roman"/>
                                      <w:lang w:val="ru-RU"/>
                                    </w:rPr>
                                  </w:pPr>
                                </w:p>
                              </w:tc>
                              <w:tc>
                                <w:tcPr>
                                  <w:tcW w:w="4566" w:type="dxa"/>
                                  <w:shd w:val="clear" w:color="auto" w:fill="auto"/>
                                </w:tcPr>
                                <w:p w:rsidR="003A7132" w:rsidRPr="008B3C4E" w:rsidRDefault="003A7132" w:rsidP="001D0CDF">
                                  <w:pPr>
                                    <w:pStyle w:val="GraphTitle"/>
                                    <w:spacing w:after="0"/>
                                    <w:rPr>
                                      <w:rFonts w:ascii="Times New Roman" w:hAnsi="Times New Roman" w:cs="Times New Roman"/>
                                      <w:b/>
                                      <w:sz w:val="20"/>
                                      <w:szCs w:val="20"/>
                                      <w:lang w:val="ru-RU"/>
                                    </w:rPr>
                                  </w:pPr>
                                  <w:r w:rsidRPr="00756C21">
                                    <w:rPr>
                                      <w:rFonts w:ascii="Times New Roman" w:hAnsi="Times New Roman" w:cs="Times New Roman"/>
                                      <w:b/>
                                      <w:sz w:val="20"/>
                                      <w:szCs w:val="20"/>
                                      <w:lang w:val="ru-RU"/>
                                    </w:rPr>
                                    <w:t>Разрыв выпуска</w:t>
                                  </w:r>
                                </w:p>
                              </w:tc>
                            </w:tr>
                            <w:tr w:rsidR="003A7132" w:rsidRPr="00E65DE3" w:rsidTr="00756C21">
                              <w:trPr>
                                <w:trHeight w:hRule="exact" w:val="28"/>
                              </w:trPr>
                              <w:tc>
                                <w:tcPr>
                                  <w:tcW w:w="4596" w:type="dxa"/>
                                  <w:tcBorders>
                                    <w:bottom w:val="single" w:sz="4" w:space="0" w:color="auto"/>
                                  </w:tcBorders>
                                  <w:shd w:val="clear" w:color="auto" w:fill="auto"/>
                                </w:tcPr>
                                <w:p w:rsidR="003A7132" w:rsidRPr="00E65DE3" w:rsidRDefault="003A7132" w:rsidP="00B81EF5">
                                  <w:pPr>
                                    <w:pStyle w:val="TabText"/>
                                    <w:rPr>
                                      <w:rFonts w:ascii="Times New Roman" w:hAnsi="Times New Roman" w:cs="Times New Roman"/>
                                      <w:lang w:val="ru-RU"/>
                                    </w:rPr>
                                  </w:pPr>
                                </w:p>
                              </w:tc>
                              <w:tc>
                                <w:tcPr>
                                  <w:tcW w:w="222" w:type="dxa"/>
                                  <w:shd w:val="clear" w:color="auto" w:fill="auto"/>
                                </w:tcPr>
                                <w:p w:rsidR="003A7132" w:rsidRPr="00E65DE3" w:rsidRDefault="003A7132" w:rsidP="00B81EF5">
                                  <w:pPr>
                                    <w:pStyle w:val="TabText"/>
                                    <w:rPr>
                                      <w:rFonts w:ascii="Times New Roman" w:hAnsi="Times New Roman" w:cs="Times New Roman"/>
                                      <w:lang w:val="ru-RU"/>
                                    </w:rPr>
                                  </w:pPr>
                                </w:p>
                              </w:tc>
                              <w:tc>
                                <w:tcPr>
                                  <w:tcW w:w="4566" w:type="dxa"/>
                                  <w:tcBorders>
                                    <w:bottom w:val="single" w:sz="4" w:space="0" w:color="auto"/>
                                  </w:tcBorders>
                                  <w:shd w:val="clear" w:color="auto" w:fill="auto"/>
                                </w:tcPr>
                                <w:p w:rsidR="003A7132" w:rsidRPr="00E65DE3" w:rsidRDefault="003A7132" w:rsidP="00B81EF5">
                                  <w:pPr>
                                    <w:pStyle w:val="TabText"/>
                                    <w:rPr>
                                      <w:rFonts w:ascii="Times New Roman" w:hAnsi="Times New Roman" w:cs="Times New Roman"/>
                                      <w:lang w:val="ru-RU"/>
                                    </w:rPr>
                                  </w:pPr>
                                </w:p>
                              </w:tc>
                              <w:tc>
                                <w:tcPr>
                                  <w:tcW w:w="788" w:type="dxa"/>
                                  <w:shd w:val="clear" w:color="auto" w:fill="auto"/>
                                </w:tcPr>
                                <w:p w:rsidR="003A7132" w:rsidRPr="00E65DE3" w:rsidRDefault="003A7132" w:rsidP="00B81EF5">
                                  <w:pPr>
                                    <w:pStyle w:val="TabText"/>
                                    <w:rPr>
                                      <w:rFonts w:ascii="Times New Roman" w:hAnsi="Times New Roman" w:cs="Times New Roman"/>
                                      <w:lang w:val="ru-RU"/>
                                    </w:rPr>
                                  </w:pPr>
                                </w:p>
                              </w:tc>
                            </w:tr>
                            <w:tr w:rsidR="003A7132" w:rsidRPr="00E65DE3" w:rsidTr="00756C21">
                              <w:tblPrEx>
                                <w:tblCellMar>
                                  <w:left w:w="108" w:type="dxa"/>
                                  <w:right w:w="108" w:type="dxa"/>
                                </w:tblCellMar>
                              </w:tblPrEx>
                              <w:trPr>
                                <w:gridAfter w:val="1"/>
                                <w:wAfter w:w="788" w:type="dxa"/>
                                <w:trHeight w:val="2200"/>
                              </w:trPr>
                              <w:tc>
                                <w:tcPr>
                                  <w:tcW w:w="4596" w:type="dxa"/>
                                  <w:tcBorders>
                                    <w:top w:val="single" w:sz="4" w:space="0" w:color="auto"/>
                                    <w:bottom w:val="single" w:sz="4" w:space="0" w:color="auto"/>
                                  </w:tcBorders>
                                  <w:shd w:val="clear" w:color="auto" w:fill="auto"/>
                                  <w:tcMar>
                                    <w:left w:w="0" w:type="nil"/>
                                    <w:right w:w="0" w:type="nil"/>
                                  </w:tcMar>
                                </w:tcPr>
                                <w:p w:rsidR="003A7132" w:rsidRPr="00E65DE3" w:rsidRDefault="003A7132" w:rsidP="00B81EF5">
                                  <w:pPr>
                                    <w:pStyle w:val="TabText"/>
                                    <w:rPr>
                                      <w:rFonts w:ascii="Times New Roman" w:hAnsi="Times New Roman" w:cs="Times New Roman"/>
                                      <w:lang w:val="ru-RU"/>
                                    </w:rPr>
                                  </w:pPr>
                                  <w:r>
                                    <w:rPr>
                                      <w:noProof/>
                                      <w:lang w:val="ru-RU" w:bidi="ar-SA"/>
                                    </w:rPr>
                                    <w:drawing>
                                      <wp:inline distT="0" distB="0" distL="0" distR="0" wp14:anchorId="602DCE67" wp14:editId="5854404D">
                                        <wp:extent cx="2781300" cy="2000250"/>
                                        <wp:effectExtent l="0" t="0" r="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22" w:type="dxa"/>
                                  <w:shd w:val="clear" w:color="auto" w:fill="auto"/>
                                  <w:tcMar>
                                    <w:left w:w="0" w:type="nil"/>
                                    <w:right w:w="0" w:type="nil"/>
                                  </w:tcMar>
                                </w:tcPr>
                                <w:p w:rsidR="003A7132" w:rsidRPr="00E65DE3" w:rsidRDefault="003A7132" w:rsidP="00B81EF5">
                                  <w:pPr>
                                    <w:pStyle w:val="TabText"/>
                                    <w:rPr>
                                      <w:rFonts w:ascii="Times New Roman" w:hAnsi="Times New Roman" w:cs="Times New Roman"/>
                                      <w:lang w:val="ru-RU"/>
                                    </w:rPr>
                                  </w:pPr>
                                </w:p>
                              </w:tc>
                              <w:tc>
                                <w:tcPr>
                                  <w:tcW w:w="4566" w:type="dxa"/>
                                  <w:tcBorders>
                                    <w:top w:val="single" w:sz="4" w:space="0" w:color="auto"/>
                                    <w:bottom w:val="single" w:sz="4" w:space="0" w:color="auto"/>
                                  </w:tcBorders>
                                  <w:shd w:val="clear" w:color="auto" w:fill="auto"/>
                                  <w:tcMar>
                                    <w:left w:w="0" w:type="nil"/>
                                    <w:right w:w="0" w:type="nil"/>
                                  </w:tcMar>
                                </w:tcPr>
                                <w:p w:rsidR="003A7132" w:rsidRPr="00E65DE3" w:rsidRDefault="003A7132" w:rsidP="00B81EF5">
                                  <w:pPr>
                                    <w:pStyle w:val="TabText"/>
                                    <w:rPr>
                                      <w:rFonts w:ascii="Times New Roman" w:hAnsi="Times New Roman" w:cs="Times New Roman"/>
                                      <w:lang w:val="ru-RU"/>
                                    </w:rPr>
                                  </w:pPr>
                                  <w:r>
                                    <w:rPr>
                                      <w:noProof/>
                                      <w:lang w:val="ru-RU" w:bidi="ar-SA"/>
                                    </w:rPr>
                                    <w:drawing>
                                      <wp:inline distT="0" distB="0" distL="0" distR="0" wp14:anchorId="33339F9E" wp14:editId="5E7F3B7A">
                                        <wp:extent cx="2576945" cy="2000250"/>
                                        <wp:effectExtent l="0" t="0" r="0"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A7132" w:rsidRPr="00E65DE3" w:rsidTr="00756C21">
                              <w:trPr>
                                <w:gridAfter w:val="1"/>
                                <w:wAfter w:w="788" w:type="dxa"/>
                                <w:trHeight w:val="198"/>
                              </w:trPr>
                              <w:tc>
                                <w:tcPr>
                                  <w:tcW w:w="4596" w:type="dxa"/>
                                  <w:tcBorders>
                                    <w:top w:val="single" w:sz="4" w:space="0" w:color="auto"/>
                                  </w:tcBorders>
                                  <w:shd w:val="clear" w:color="auto" w:fill="auto"/>
                                </w:tcPr>
                                <w:p w:rsidR="003A7132" w:rsidRPr="00C20D7F" w:rsidRDefault="003A7132" w:rsidP="004E2D5D">
                                  <w:pPr>
                                    <w:pStyle w:val="SourceLarge"/>
                                    <w:spacing w:after="0"/>
                                    <w:rPr>
                                      <w:rFonts w:asciiTheme="minorHAnsi" w:hAnsiTheme="minorHAnsi"/>
                                      <w:lang w:val="en-US"/>
                                    </w:rPr>
                                  </w:pPr>
                                  <w:r w:rsidRPr="003633FC">
                                    <w:rPr>
                                      <w:rFonts w:ascii="Times New Roman" w:hAnsi="Times New Roman" w:cs="Times New Roman"/>
                                      <w:i/>
                                      <w:sz w:val="14"/>
                                      <w:szCs w:val="14"/>
                                    </w:rPr>
                                    <w:t>Источник:</w:t>
                                  </w:r>
                                  <w:r w:rsidRPr="00C20D7F">
                                    <w:rPr>
                                      <w:rFonts w:ascii="Times New Roman" w:hAnsi="Times New Roman" w:cs="Times New Roman"/>
                                      <w:i/>
                                      <w:sz w:val="14"/>
                                      <w:szCs w:val="14"/>
                                      <w:lang w:val="en-US"/>
                                    </w:rPr>
                                    <w:t xml:space="preserve"> </w:t>
                                  </w:r>
                                  <w:r>
                                    <w:rPr>
                                      <w:rFonts w:ascii="Times New Roman" w:hAnsi="Times New Roman" w:cs="Times New Roman"/>
                                      <w:i/>
                                      <w:sz w:val="14"/>
                                      <w:szCs w:val="14"/>
                                      <w:lang w:val="en-US"/>
                                    </w:rPr>
                                    <w:t>Bloomberg</w:t>
                                  </w:r>
                                </w:p>
                              </w:tc>
                              <w:tc>
                                <w:tcPr>
                                  <w:tcW w:w="222" w:type="dxa"/>
                                  <w:shd w:val="clear" w:color="auto" w:fill="auto"/>
                                </w:tcPr>
                                <w:p w:rsidR="003A7132" w:rsidRPr="001728A7" w:rsidRDefault="003A7132" w:rsidP="00B81EF5">
                                  <w:pPr>
                                    <w:pStyle w:val="SourceLarge"/>
                                    <w:spacing w:after="240"/>
                                    <w:rPr>
                                      <w:rFonts w:ascii="Times New Roman" w:hAnsi="Times New Roman" w:cs="Times New Roman"/>
                                    </w:rPr>
                                  </w:pPr>
                                </w:p>
                              </w:tc>
                              <w:tc>
                                <w:tcPr>
                                  <w:tcW w:w="4566" w:type="dxa"/>
                                  <w:tcBorders>
                                    <w:top w:val="single" w:sz="4" w:space="0" w:color="auto"/>
                                  </w:tcBorders>
                                  <w:shd w:val="clear" w:color="auto" w:fill="auto"/>
                                </w:tcPr>
                                <w:p w:rsidR="003A7132" w:rsidRPr="001F42B3" w:rsidRDefault="003A7132" w:rsidP="004E2D5D">
                                  <w:pPr>
                                    <w:pStyle w:val="SourceLarge"/>
                                    <w:spacing w:after="240"/>
                                    <w:rPr>
                                      <w:rFonts w:ascii="Times New Roman" w:hAnsi="Times New Roman" w:cs="Times New Roman"/>
                                      <w:i/>
                                      <w:lang w:val="en-US"/>
                                    </w:rPr>
                                  </w:pPr>
                                  <w:r w:rsidRPr="003633FC">
                                    <w:rPr>
                                      <w:rFonts w:ascii="Times New Roman" w:hAnsi="Times New Roman" w:cs="Times New Roman"/>
                                      <w:i/>
                                      <w:sz w:val="14"/>
                                      <w:szCs w:val="14"/>
                                    </w:rPr>
                                    <w:t>Источник: </w:t>
                                  </w:r>
                                  <w:r>
                                    <w:rPr>
                                      <w:rFonts w:ascii="Times New Roman" w:hAnsi="Times New Roman" w:cs="Times New Roman"/>
                                      <w:i/>
                                      <w:sz w:val="14"/>
                                      <w:szCs w:val="14"/>
                                      <w:lang w:val="ru-RU"/>
                                    </w:rPr>
                                    <w:t>МВФ</w:t>
                                  </w:r>
                                </w:p>
                              </w:tc>
                            </w:tr>
                          </w:tbl>
                          <w:p w:rsidR="003A7132" w:rsidRDefault="003A7132" w:rsidP="004A321B">
                            <w:pPr>
                              <w:spacing w:before="120" w:after="120"/>
                              <w:jc w:val="both"/>
                              <w:rPr>
                                <w:rFonts w:ascii="Times New Roman" w:hAnsi="Times New Roman"/>
                                <w:sz w:val="20"/>
                                <w:szCs w:val="20"/>
                              </w:rPr>
                            </w:pPr>
                            <w:r w:rsidRPr="00756C21">
                              <w:rPr>
                                <w:rFonts w:ascii="Times New Roman" w:hAnsi="Times New Roman"/>
                                <w:sz w:val="20"/>
                                <w:szCs w:val="20"/>
                              </w:rPr>
                              <w:t>Таким образом, в настоящее время денежно-кредитная политика большинства ведущих центральных банков развитых стран остается относительно мягкой. Однако ускоренное повышение ставок в США и ожидания ужесточения политики в Еврозоне и Великобритании оказывают давление на конъюнктуру глобальных финансовых рынков и ограничивают спрос на рискованные активы. Это является фактором риска, способным снизить темпы экономического роста развивающихся стран и создать давление на цены на сырьевых рынках</w:t>
                            </w:r>
                            <w:r>
                              <w:rPr>
                                <w:rFonts w:ascii="Times New Roman" w:hAnsi="Times New Roman"/>
                                <w:sz w:val="20"/>
                                <w:szCs w:val="20"/>
                              </w:rPr>
                              <w:t>впервые.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7" type="#_x0000_t202" style="position:absolute;left:0;text-align:left;margin-left:-2.65pt;margin-top:4.15pt;width:460.75pt;height:688.2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" fillcolor="#f2f2f2 [3052]" stroked="f">
                <v:textbox>
                  <w:txbxContent>
                    <w:p w:rsidR="003A7132" w:rsidRDefault="003A7132" w:rsidP="001D0CDF">
                      <w:pPr>
                        <w:spacing w:after="120"/>
                        <w:rPr>
                          <w:rFonts w:ascii="Times New Roman" w:hAnsi="Times New Roman"/>
                          <w:b/>
                          <w:sz w:val="24"/>
                          <w:szCs w:val="24"/>
                        </w:rPr>
                      </w:pPr>
                      <w:r w:rsidRPr="00756C21">
                        <w:rPr>
                          <w:rFonts w:ascii="Times New Roman" w:hAnsi="Times New Roman"/>
                          <w:b/>
                          <w:sz w:val="24"/>
                          <w:szCs w:val="24"/>
                        </w:rPr>
                        <w:t>Денежно-кредитная политика крупнейших развитых стран</w:t>
                      </w:r>
                    </w:p>
                    <w:p w:rsidR="003A7132" w:rsidRPr="00756C21" w:rsidRDefault="003A7132" w:rsidP="00756C21">
                      <w:pPr>
                        <w:spacing w:before="120" w:after="0"/>
                        <w:jc w:val="both"/>
                        <w:rPr>
                          <w:rFonts w:ascii="Times New Roman" w:hAnsi="Times New Roman"/>
                          <w:sz w:val="20"/>
                          <w:szCs w:val="20"/>
                        </w:rPr>
                      </w:pPr>
                      <w:r w:rsidRPr="00756C21">
                        <w:rPr>
                          <w:rFonts w:ascii="Times New Roman" w:hAnsi="Times New Roman"/>
                          <w:sz w:val="20"/>
                          <w:szCs w:val="20"/>
                        </w:rPr>
                        <w:t xml:space="preserve">Процентные ставки </w:t>
                      </w:r>
                      <w:r w:rsidRPr="00756C21">
                        <w:rPr>
                          <w:rFonts w:ascii="Times New Roman" w:hAnsi="Times New Roman"/>
                          <w:b/>
                          <w:sz w:val="20"/>
                          <w:szCs w:val="20"/>
                        </w:rPr>
                        <w:t>ЕЦБ</w:t>
                      </w:r>
                      <w:r w:rsidRPr="00756C21">
                        <w:rPr>
                          <w:rFonts w:ascii="Times New Roman" w:hAnsi="Times New Roman"/>
                          <w:sz w:val="20"/>
                          <w:szCs w:val="20"/>
                        </w:rPr>
                        <w:t xml:space="preserve"> сохраняются вблизи нуля (ключевая процентная ставка составляет 0%, ставка по депозитам в центральном банке -0,4%) и осуществляется покупки активов на открытом рынке. В июне 2018 года ЕЦБ сообщил, что ожидает сохранения нулевых ставок до лета 2019 г. а покупки по программе покупки активов будут продолжаться в течение всего 2018 г., после чего они должны прекратиться. После этого, для сохранения стимулирующего эффекта ЕЦБ планирует продолжать реинвестировать доходы от погашения активов, поддерживая показатели баланса неизменными еще какое-то время.</w:t>
                      </w:r>
                    </w:p>
                    <w:p w:rsidR="003A7132" w:rsidRPr="00756C21" w:rsidRDefault="003A7132" w:rsidP="00756C21">
                      <w:pPr>
                        <w:spacing w:before="120" w:after="0"/>
                        <w:jc w:val="both"/>
                        <w:rPr>
                          <w:rFonts w:ascii="Times New Roman" w:hAnsi="Times New Roman"/>
                          <w:sz w:val="20"/>
                          <w:szCs w:val="20"/>
                        </w:rPr>
                      </w:pPr>
                      <w:r w:rsidRPr="00756C21">
                        <w:rPr>
                          <w:rFonts w:ascii="Times New Roman" w:hAnsi="Times New Roman"/>
                          <w:sz w:val="20"/>
                          <w:szCs w:val="20"/>
                        </w:rPr>
                        <w:t xml:space="preserve">Определяющая денежно-кредитную политику </w:t>
                      </w:r>
                      <w:r w:rsidRPr="00756C21">
                        <w:rPr>
                          <w:rFonts w:ascii="Times New Roman" w:hAnsi="Times New Roman"/>
                          <w:b/>
                          <w:sz w:val="20"/>
                          <w:szCs w:val="20"/>
                        </w:rPr>
                        <w:t>Банка Англии</w:t>
                      </w:r>
                      <w:r w:rsidRPr="00756C21">
                        <w:rPr>
                          <w:rFonts w:ascii="Times New Roman" w:hAnsi="Times New Roman"/>
                          <w:sz w:val="20"/>
                          <w:szCs w:val="20"/>
                        </w:rPr>
                        <w:t xml:space="preserve"> ставка в ноябре 2017 г. была повышена на 25 б.п. до 0,5% годовых, что стало следствием ускорения инфляции после выхода Великобритании из ЕС. Согласно заявлению Комитета по денежной политике к итогам заседания в июне 2018 года в ближайшее время может потребоваться дополнительное ужесточение </w:t>
                      </w:r>
                      <w:r>
                        <w:rPr>
                          <w:rFonts w:ascii="Times New Roman" w:hAnsi="Times New Roman"/>
                          <w:sz w:val="20"/>
                          <w:szCs w:val="20"/>
                        </w:rPr>
                        <w:t>ДКП</w:t>
                      </w:r>
                      <w:r w:rsidRPr="00756C21">
                        <w:rPr>
                          <w:rFonts w:ascii="Times New Roman" w:hAnsi="Times New Roman"/>
                          <w:sz w:val="20"/>
                          <w:szCs w:val="20"/>
                        </w:rPr>
                        <w:t xml:space="preserve"> с целью достижения цели по инфляции, однако изменения ставки будут плавными и ограниченными по величине. Банк Англии намерен приступить к сокращению своего баланса после достижения ставкой денежного рынка уровня 1,5% годовых. Ранее планировалась начать этот процесс при достижении 2% годовых.</w:t>
                      </w:r>
                    </w:p>
                    <w:p w:rsidR="003A7132" w:rsidRPr="00756C21" w:rsidRDefault="003A7132" w:rsidP="00756C21">
                      <w:pPr>
                        <w:spacing w:before="120" w:after="0"/>
                        <w:jc w:val="both"/>
                        <w:rPr>
                          <w:rFonts w:ascii="Times New Roman" w:hAnsi="Times New Roman"/>
                          <w:sz w:val="20"/>
                          <w:szCs w:val="20"/>
                        </w:rPr>
                      </w:pPr>
                      <w:r w:rsidRPr="00756C21">
                        <w:rPr>
                          <w:rFonts w:ascii="Times New Roman" w:hAnsi="Times New Roman"/>
                          <w:sz w:val="20"/>
                          <w:szCs w:val="20"/>
                        </w:rPr>
                        <w:t xml:space="preserve">В США восстановление экономики началось раньше и идет быстрее, чем в большинстве развитых стран. </w:t>
                      </w:r>
                      <w:r>
                        <w:rPr>
                          <w:rFonts w:ascii="Times New Roman" w:hAnsi="Times New Roman"/>
                          <w:b/>
                          <w:sz w:val="20"/>
                          <w:szCs w:val="20"/>
                        </w:rPr>
                        <w:t>ФРС</w:t>
                      </w:r>
                      <w:r w:rsidRPr="00756C21">
                        <w:rPr>
                          <w:rFonts w:ascii="Times New Roman" w:hAnsi="Times New Roman"/>
                          <w:sz w:val="20"/>
                          <w:szCs w:val="20"/>
                        </w:rPr>
                        <w:t xml:space="preserve"> США продолжает повышение целевой ставки федеральных фондов. В первой половине 2018 года произошло уже два повышения. На июньском заседании руководители ФРС США сообщили об ожиданиях еще двух повышений ставки во второй половине года. Объем ценных бумаг на балансе ФРС США к концу июня текущего года сократился на 130 млрд. долл. США с пиковых значений, достигнутых в апреле 2017 года. Нормализация денежно-кредитной политики и ожидания дальнейшего роста долларовых ставок оказывают давление на цены рискованных активов по всему миру, а также способствуют к оттоку капитала с рынков развивающихся стран, в том числе из России.</w:t>
                      </w:r>
                    </w:p>
                    <w:p w:rsidR="003A7132" w:rsidRDefault="003A7132" w:rsidP="00756C21">
                      <w:pPr>
                        <w:spacing w:before="120" w:after="0"/>
                        <w:jc w:val="both"/>
                        <w:rPr>
                          <w:rFonts w:ascii="Times New Roman" w:hAnsi="Times New Roman"/>
                          <w:sz w:val="20"/>
                          <w:szCs w:val="20"/>
                        </w:rPr>
                      </w:pPr>
                      <w:r w:rsidRPr="00756C21">
                        <w:rPr>
                          <w:rFonts w:ascii="Times New Roman" w:hAnsi="Times New Roman"/>
                          <w:b/>
                          <w:sz w:val="20"/>
                          <w:szCs w:val="20"/>
                        </w:rPr>
                        <w:t>Банк Японии</w:t>
                      </w:r>
                      <w:r w:rsidRPr="00756C21">
                        <w:rPr>
                          <w:rFonts w:ascii="Times New Roman" w:hAnsi="Times New Roman"/>
                          <w:sz w:val="20"/>
                          <w:szCs w:val="20"/>
                        </w:rPr>
                        <w:t xml:space="preserve"> в текущий момент держит отрицательную ключевую процентную ставку (-0,1%) и проводит масштабную программу выкупа финансовых активов, таргетируя доходность 10-летних облигаций вблизи нулевого уровня. Стенограммы последних заседаний говорят о том, что монетарные власти Японии планирует продолжить программу количественного смягчения и управление формой временной кривой доходности до тех пор, пока инфляция не достигнет целевых 2% и не стабилизируется на этом уровне</w:t>
                      </w:r>
                      <w:r>
                        <w:rPr>
                          <w:rFonts w:ascii="Times New Roman" w:hAnsi="Times New Roman"/>
                          <w:sz w:val="20"/>
                          <w:szCs w:val="20"/>
                        </w:rPr>
                        <w:t xml:space="preserve">. </w:t>
                      </w:r>
                    </w:p>
                    <w:tbl>
                      <w:tblPr>
                        <w:tblStyle w:val="Smalltable"/>
                        <w:tblW w:w="10172" w:type="dxa"/>
                        <w:tblInd w:w="0" w:type="dxa"/>
                        <w:tblLook w:val="04A0" w:firstRow="1" w:lastRow="0" w:firstColumn="1" w:lastColumn="0" w:noHBand="0" w:noVBand="1"/>
                      </w:tblPr>
                      <w:tblGrid>
                        <w:gridCol w:w="4596"/>
                        <w:gridCol w:w="222"/>
                        <w:gridCol w:w="4566"/>
                        <w:gridCol w:w="788"/>
                      </w:tblGrid>
                      <w:tr w:rsidR="003A7132" w:rsidRPr="00E65DE3" w:rsidTr="00756C21">
                        <w:trPr>
                          <w:gridAfter w:val="1"/>
                          <w:wAfter w:w="788" w:type="dxa"/>
                          <w:trHeight w:val="198"/>
                        </w:trPr>
                        <w:tc>
                          <w:tcPr>
                            <w:tcW w:w="4596" w:type="dxa"/>
                            <w:shd w:val="clear" w:color="auto" w:fill="auto"/>
                          </w:tcPr>
                          <w:p w:rsidR="003A7132" w:rsidRPr="008B3C4E" w:rsidRDefault="003A7132" w:rsidP="001D0CDF">
                            <w:pPr>
                              <w:pStyle w:val="GraphTitle"/>
                              <w:spacing w:after="0"/>
                              <w:rPr>
                                <w:rFonts w:ascii="Times New Roman" w:hAnsi="Times New Roman" w:cs="Times New Roman"/>
                                <w:b/>
                                <w:sz w:val="20"/>
                                <w:szCs w:val="20"/>
                                <w:lang w:val="ru-RU"/>
                              </w:rPr>
                            </w:pPr>
                            <w:r w:rsidRPr="00756C21">
                              <w:rPr>
                                <w:rFonts w:ascii="Times New Roman" w:hAnsi="Times New Roman" w:cs="Times New Roman"/>
                                <w:b/>
                                <w:sz w:val="20"/>
                                <w:szCs w:val="20"/>
                                <w:lang w:val="ru-RU"/>
                              </w:rPr>
                              <w:t>Балансы центральных банков, % от ВВП</w:t>
                            </w:r>
                          </w:p>
                        </w:tc>
                        <w:tc>
                          <w:tcPr>
                            <w:tcW w:w="222" w:type="dxa"/>
                            <w:shd w:val="clear" w:color="auto" w:fill="auto"/>
                          </w:tcPr>
                          <w:p w:rsidR="003A7132" w:rsidRPr="00E65DE3" w:rsidRDefault="003A7132" w:rsidP="001D0CDF">
                            <w:pPr>
                              <w:pStyle w:val="GraphTitle"/>
                              <w:spacing w:after="0"/>
                              <w:rPr>
                                <w:rFonts w:ascii="Times New Roman" w:hAnsi="Times New Roman" w:cs="Times New Roman"/>
                                <w:lang w:val="ru-RU"/>
                              </w:rPr>
                            </w:pPr>
                          </w:p>
                        </w:tc>
                        <w:tc>
                          <w:tcPr>
                            <w:tcW w:w="4566" w:type="dxa"/>
                            <w:shd w:val="clear" w:color="auto" w:fill="auto"/>
                          </w:tcPr>
                          <w:p w:rsidR="003A7132" w:rsidRPr="008B3C4E" w:rsidRDefault="003A7132" w:rsidP="001D0CDF">
                            <w:pPr>
                              <w:pStyle w:val="GraphTitle"/>
                              <w:spacing w:after="0"/>
                              <w:rPr>
                                <w:rFonts w:ascii="Times New Roman" w:hAnsi="Times New Roman" w:cs="Times New Roman"/>
                                <w:b/>
                                <w:sz w:val="20"/>
                                <w:szCs w:val="20"/>
                                <w:lang w:val="ru-RU"/>
                              </w:rPr>
                            </w:pPr>
                            <w:r w:rsidRPr="00756C21">
                              <w:rPr>
                                <w:rFonts w:ascii="Times New Roman" w:hAnsi="Times New Roman" w:cs="Times New Roman"/>
                                <w:b/>
                                <w:sz w:val="20"/>
                                <w:szCs w:val="20"/>
                                <w:lang w:val="ru-RU"/>
                              </w:rPr>
                              <w:t>Разрыв выпуска</w:t>
                            </w:r>
                          </w:p>
                        </w:tc>
                      </w:tr>
                      <w:tr w:rsidR="003A7132" w:rsidRPr="00E65DE3" w:rsidTr="00756C21">
                        <w:trPr>
                          <w:trHeight w:hRule="exact" w:val="28"/>
                        </w:trPr>
                        <w:tc>
                          <w:tcPr>
                            <w:tcW w:w="4596" w:type="dxa"/>
                            <w:tcBorders>
                              <w:bottom w:val="single" w:sz="4" w:space="0" w:color="auto"/>
                            </w:tcBorders>
                            <w:shd w:val="clear" w:color="auto" w:fill="auto"/>
                          </w:tcPr>
                          <w:p w:rsidR="003A7132" w:rsidRPr="00E65DE3" w:rsidRDefault="003A7132" w:rsidP="00B81EF5">
                            <w:pPr>
                              <w:pStyle w:val="TabText"/>
                              <w:rPr>
                                <w:rFonts w:ascii="Times New Roman" w:hAnsi="Times New Roman" w:cs="Times New Roman"/>
                                <w:lang w:val="ru-RU"/>
                              </w:rPr>
                            </w:pPr>
                          </w:p>
                        </w:tc>
                        <w:tc>
                          <w:tcPr>
                            <w:tcW w:w="222" w:type="dxa"/>
                            <w:shd w:val="clear" w:color="auto" w:fill="auto"/>
                          </w:tcPr>
                          <w:p w:rsidR="003A7132" w:rsidRPr="00E65DE3" w:rsidRDefault="003A7132" w:rsidP="00B81EF5">
                            <w:pPr>
                              <w:pStyle w:val="TabText"/>
                              <w:rPr>
                                <w:rFonts w:ascii="Times New Roman" w:hAnsi="Times New Roman" w:cs="Times New Roman"/>
                                <w:lang w:val="ru-RU"/>
                              </w:rPr>
                            </w:pPr>
                          </w:p>
                        </w:tc>
                        <w:tc>
                          <w:tcPr>
                            <w:tcW w:w="4566" w:type="dxa"/>
                            <w:tcBorders>
                              <w:bottom w:val="single" w:sz="4" w:space="0" w:color="auto"/>
                            </w:tcBorders>
                            <w:shd w:val="clear" w:color="auto" w:fill="auto"/>
                          </w:tcPr>
                          <w:p w:rsidR="003A7132" w:rsidRPr="00E65DE3" w:rsidRDefault="003A7132" w:rsidP="00B81EF5">
                            <w:pPr>
                              <w:pStyle w:val="TabText"/>
                              <w:rPr>
                                <w:rFonts w:ascii="Times New Roman" w:hAnsi="Times New Roman" w:cs="Times New Roman"/>
                                <w:lang w:val="ru-RU"/>
                              </w:rPr>
                            </w:pPr>
                          </w:p>
                        </w:tc>
                        <w:tc>
                          <w:tcPr>
                            <w:tcW w:w="788" w:type="dxa"/>
                            <w:shd w:val="clear" w:color="auto" w:fill="auto"/>
                          </w:tcPr>
                          <w:p w:rsidR="003A7132" w:rsidRPr="00E65DE3" w:rsidRDefault="003A7132" w:rsidP="00B81EF5">
                            <w:pPr>
                              <w:pStyle w:val="TabText"/>
                              <w:rPr>
                                <w:rFonts w:ascii="Times New Roman" w:hAnsi="Times New Roman" w:cs="Times New Roman"/>
                                <w:lang w:val="ru-RU"/>
                              </w:rPr>
                            </w:pPr>
                          </w:p>
                        </w:tc>
                      </w:tr>
                      <w:tr w:rsidR="003A7132" w:rsidRPr="00E65DE3" w:rsidTr="00756C21">
                        <w:tblPrEx>
                          <w:tblCellMar>
                            <w:left w:w="108" w:type="dxa"/>
                            <w:right w:w="108" w:type="dxa"/>
                          </w:tblCellMar>
                        </w:tblPrEx>
                        <w:trPr>
                          <w:gridAfter w:val="1"/>
                          <w:wAfter w:w="788" w:type="dxa"/>
                          <w:trHeight w:val="2200"/>
                        </w:trPr>
                        <w:tc>
                          <w:tcPr>
                            <w:tcW w:w="4596" w:type="dxa"/>
                            <w:tcBorders>
                              <w:top w:val="single" w:sz="4" w:space="0" w:color="auto"/>
                              <w:bottom w:val="single" w:sz="4" w:space="0" w:color="auto"/>
                            </w:tcBorders>
                            <w:shd w:val="clear" w:color="auto" w:fill="auto"/>
                            <w:tcMar>
                              <w:left w:w="0" w:type="nil"/>
                              <w:right w:w="0" w:type="nil"/>
                            </w:tcMar>
                          </w:tcPr>
                          <w:p w:rsidR="003A7132" w:rsidRPr="00E65DE3" w:rsidRDefault="003A7132" w:rsidP="00B81EF5">
                            <w:pPr>
                              <w:pStyle w:val="TabText"/>
                              <w:rPr>
                                <w:rFonts w:ascii="Times New Roman" w:hAnsi="Times New Roman" w:cs="Times New Roman"/>
                                <w:lang w:val="ru-RU"/>
                              </w:rPr>
                            </w:pPr>
                            <w:r>
                              <w:rPr>
                                <w:noProof/>
                                <w:lang w:val="ru-RU" w:bidi="ar-SA"/>
                              </w:rPr>
                              <w:drawing>
                                <wp:inline distT="0" distB="0" distL="0" distR="0" wp14:anchorId="602DCE67" wp14:editId="5854404D">
                                  <wp:extent cx="2781300" cy="2000250"/>
                                  <wp:effectExtent l="0" t="0" r="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22" w:type="dxa"/>
                            <w:shd w:val="clear" w:color="auto" w:fill="auto"/>
                            <w:tcMar>
                              <w:left w:w="0" w:type="nil"/>
                              <w:right w:w="0" w:type="nil"/>
                            </w:tcMar>
                          </w:tcPr>
                          <w:p w:rsidR="003A7132" w:rsidRPr="00E65DE3" w:rsidRDefault="003A7132" w:rsidP="00B81EF5">
                            <w:pPr>
                              <w:pStyle w:val="TabText"/>
                              <w:rPr>
                                <w:rFonts w:ascii="Times New Roman" w:hAnsi="Times New Roman" w:cs="Times New Roman"/>
                                <w:lang w:val="ru-RU"/>
                              </w:rPr>
                            </w:pPr>
                          </w:p>
                        </w:tc>
                        <w:tc>
                          <w:tcPr>
                            <w:tcW w:w="4566" w:type="dxa"/>
                            <w:tcBorders>
                              <w:top w:val="single" w:sz="4" w:space="0" w:color="auto"/>
                              <w:bottom w:val="single" w:sz="4" w:space="0" w:color="auto"/>
                            </w:tcBorders>
                            <w:shd w:val="clear" w:color="auto" w:fill="auto"/>
                            <w:tcMar>
                              <w:left w:w="0" w:type="nil"/>
                              <w:right w:w="0" w:type="nil"/>
                            </w:tcMar>
                          </w:tcPr>
                          <w:p w:rsidR="003A7132" w:rsidRPr="00E65DE3" w:rsidRDefault="003A7132" w:rsidP="00B81EF5">
                            <w:pPr>
                              <w:pStyle w:val="TabText"/>
                              <w:rPr>
                                <w:rFonts w:ascii="Times New Roman" w:hAnsi="Times New Roman" w:cs="Times New Roman"/>
                                <w:lang w:val="ru-RU"/>
                              </w:rPr>
                            </w:pPr>
                            <w:r>
                              <w:rPr>
                                <w:noProof/>
                                <w:lang w:val="ru-RU" w:bidi="ar-SA"/>
                              </w:rPr>
                              <w:drawing>
                                <wp:inline distT="0" distB="0" distL="0" distR="0" wp14:anchorId="33339F9E" wp14:editId="5E7F3B7A">
                                  <wp:extent cx="2576945" cy="2000250"/>
                                  <wp:effectExtent l="0" t="0" r="0"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A7132" w:rsidRPr="00E65DE3" w:rsidTr="00756C21">
                        <w:trPr>
                          <w:gridAfter w:val="1"/>
                          <w:wAfter w:w="788" w:type="dxa"/>
                          <w:trHeight w:val="198"/>
                        </w:trPr>
                        <w:tc>
                          <w:tcPr>
                            <w:tcW w:w="4596" w:type="dxa"/>
                            <w:tcBorders>
                              <w:top w:val="single" w:sz="4" w:space="0" w:color="auto"/>
                            </w:tcBorders>
                            <w:shd w:val="clear" w:color="auto" w:fill="auto"/>
                          </w:tcPr>
                          <w:p w:rsidR="003A7132" w:rsidRPr="00C20D7F" w:rsidRDefault="003A7132" w:rsidP="004E2D5D">
                            <w:pPr>
                              <w:pStyle w:val="SourceLarge"/>
                              <w:spacing w:after="0"/>
                              <w:rPr>
                                <w:rFonts w:asciiTheme="minorHAnsi" w:hAnsiTheme="minorHAnsi"/>
                                <w:lang w:val="en-US"/>
                              </w:rPr>
                            </w:pPr>
                            <w:r w:rsidRPr="003633FC">
                              <w:rPr>
                                <w:rFonts w:ascii="Times New Roman" w:hAnsi="Times New Roman" w:cs="Times New Roman"/>
                                <w:i/>
                                <w:sz w:val="14"/>
                                <w:szCs w:val="14"/>
                              </w:rPr>
                              <w:t>Источник:</w:t>
                            </w:r>
                            <w:r w:rsidRPr="00C20D7F">
                              <w:rPr>
                                <w:rFonts w:ascii="Times New Roman" w:hAnsi="Times New Roman" w:cs="Times New Roman"/>
                                <w:i/>
                                <w:sz w:val="14"/>
                                <w:szCs w:val="14"/>
                                <w:lang w:val="en-US"/>
                              </w:rPr>
                              <w:t xml:space="preserve"> </w:t>
                            </w:r>
                            <w:r>
                              <w:rPr>
                                <w:rFonts w:ascii="Times New Roman" w:hAnsi="Times New Roman" w:cs="Times New Roman"/>
                                <w:i/>
                                <w:sz w:val="14"/>
                                <w:szCs w:val="14"/>
                                <w:lang w:val="en-US"/>
                              </w:rPr>
                              <w:t>Bloomberg</w:t>
                            </w:r>
                          </w:p>
                        </w:tc>
                        <w:tc>
                          <w:tcPr>
                            <w:tcW w:w="222" w:type="dxa"/>
                            <w:shd w:val="clear" w:color="auto" w:fill="auto"/>
                          </w:tcPr>
                          <w:p w:rsidR="003A7132" w:rsidRPr="001728A7" w:rsidRDefault="003A7132" w:rsidP="00B81EF5">
                            <w:pPr>
                              <w:pStyle w:val="SourceLarge"/>
                              <w:spacing w:after="240"/>
                              <w:rPr>
                                <w:rFonts w:ascii="Times New Roman" w:hAnsi="Times New Roman" w:cs="Times New Roman"/>
                              </w:rPr>
                            </w:pPr>
                          </w:p>
                        </w:tc>
                        <w:tc>
                          <w:tcPr>
                            <w:tcW w:w="4566" w:type="dxa"/>
                            <w:tcBorders>
                              <w:top w:val="single" w:sz="4" w:space="0" w:color="auto"/>
                            </w:tcBorders>
                            <w:shd w:val="clear" w:color="auto" w:fill="auto"/>
                          </w:tcPr>
                          <w:p w:rsidR="003A7132" w:rsidRPr="001F42B3" w:rsidRDefault="003A7132" w:rsidP="004E2D5D">
                            <w:pPr>
                              <w:pStyle w:val="SourceLarge"/>
                              <w:spacing w:after="240"/>
                              <w:rPr>
                                <w:rFonts w:ascii="Times New Roman" w:hAnsi="Times New Roman" w:cs="Times New Roman"/>
                                <w:i/>
                                <w:lang w:val="en-US"/>
                              </w:rPr>
                            </w:pPr>
                            <w:r w:rsidRPr="003633FC">
                              <w:rPr>
                                <w:rFonts w:ascii="Times New Roman" w:hAnsi="Times New Roman" w:cs="Times New Roman"/>
                                <w:i/>
                                <w:sz w:val="14"/>
                                <w:szCs w:val="14"/>
                              </w:rPr>
                              <w:t>Источник: </w:t>
                            </w:r>
                            <w:r>
                              <w:rPr>
                                <w:rFonts w:ascii="Times New Roman" w:hAnsi="Times New Roman" w:cs="Times New Roman"/>
                                <w:i/>
                                <w:sz w:val="14"/>
                                <w:szCs w:val="14"/>
                                <w:lang w:val="ru-RU"/>
                              </w:rPr>
                              <w:t>МВФ</w:t>
                            </w:r>
                          </w:p>
                        </w:tc>
                      </w:tr>
                    </w:tbl>
                    <w:p w:rsidR="003A7132" w:rsidRDefault="003A7132" w:rsidP="004A321B">
                      <w:pPr>
                        <w:spacing w:before="120" w:after="120"/>
                        <w:jc w:val="both"/>
                        <w:rPr>
                          <w:rFonts w:ascii="Times New Roman" w:hAnsi="Times New Roman"/>
                          <w:sz w:val="20"/>
                          <w:szCs w:val="20"/>
                        </w:rPr>
                      </w:pPr>
                      <w:r w:rsidRPr="00756C21">
                        <w:rPr>
                          <w:rFonts w:ascii="Times New Roman" w:hAnsi="Times New Roman"/>
                          <w:sz w:val="20"/>
                          <w:szCs w:val="20"/>
                        </w:rPr>
                        <w:t>Таким образом, в настоящее время денежно-кредитная политика большинства ведущих центральных банков развитых стран остается относительно мягкой. Однако ускоренное повышение ставок в США и ожидания ужесточения политики в Еврозоне и Великобритании оказывают давление на конъюнктуру глобальных финансовых рынков и ограничивают спрос на рискованные активы. Это является фактором риска, способным снизить темпы экономического роста развивающихся стран и создать давление на цены на сырьевых рынках</w:t>
                      </w:r>
                      <w:r>
                        <w:rPr>
                          <w:rFonts w:ascii="Times New Roman" w:hAnsi="Times New Roman"/>
                          <w:sz w:val="20"/>
                          <w:szCs w:val="20"/>
                        </w:rPr>
                        <w:t>впервые.</w:t>
                      </w:r>
                    </w:p>
                  </w:txbxContent>
                </v:textbox>
                <w10:wrap type="square" anchorx="margin"/>
              </v:shape>
            </w:pict>
          </mc:Fallback>
        </mc:AlternateContent>
      </w:r>
    </w:p>
    <w:p w:rsidR="0068260B" w:rsidRDefault="00167952" w:rsidP="00B04970">
      <w:pPr>
        <w:spacing w:before="80" w:after="80"/>
        <w:jc w:val="both"/>
        <w:rPr>
          <w:rFonts w:ascii="Times New Roman" w:hAnsi="Times New Roman"/>
          <w:sz w:val="24"/>
          <w:szCs w:val="24"/>
        </w:rPr>
      </w:pPr>
      <w:r w:rsidRPr="00167952">
        <w:rPr>
          <w:rFonts w:ascii="Times New Roman" w:hAnsi="Times New Roman"/>
          <w:sz w:val="24"/>
          <w:szCs w:val="24"/>
        </w:rPr>
        <w:lastRenderedPageBreak/>
        <w:t>В 2018 году впервые за 10 лет высока вероятность закрытия глобального негативного разрыва выпуска и перехода его в позитивную область. Это позволит перейти к нормализации денежно-кредитной политики в ряде стран, после десятилетия проведения сверхмягкой ДКП. Процесс ужесточения будет сопровождаться изъятием введенных ранее дополнительных экономических стимулов и может привести к «побочным эффектам» в виде активизации рисков для развивающихся стран. В ожидании нормализации ДКП на мировых финансовых рынках растет вероятность снижения спроса на рисковые активы, в частности – сокращения объемов притоков капитала в страны с развивающимися рынками</w:t>
      </w:r>
      <w:r w:rsidR="0068260B" w:rsidRPr="00167952">
        <w:rPr>
          <w:rFonts w:ascii="Times New Roman" w:hAnsi="Times New Roman"/>
          <w:sz w:val="24"/>
          <w:szCs w:val="24"/>
        </w:rPr>
        <w:t>.</w:t>
      </w:r>
    </w:p>
    <w:p w:rsidR="00167952" w:rsidRPr="00167952" w:rsidRDefault="00167952" w:rsidP="00167952">
      <w:pPr>
        <w:spacing w:before="80" w:after="80"/>
        <w:jc w:val="both"/>
        <w:rPr>
          <w:rFonts w:ascii="Times New Roman" w:hAnsi="Times New Roman"/>
          <w:sz w:val="24"/>
          <w:szCs w:val="24"/>
        </w:rPr>
      </w:pPr>
      <w:r w:rsidRPr="00167952">
        <w:rPr>
          <w:rFonts w:ascii="Times New Roman" w:hAnsi="Times New Roman"/>
          <w:sz w:val="24"/>
          <w:szCs w:val="24"/>
        </w:rPr>
        <w:t>Таким образом, во многих развитых странах и странах с формирующимися рынками экономическое оживление происходит на фоне широкого спектра краткосрочных рисков и долгосрочных вызовов. Эффект от наиболее вероятных изменений в мировой экономике и финансовых рынках в ближайшие годы будет неравномерным: выиграют те, кто успел осуществить структурные реформы, снизить зависимость от внешнего финансирования, исправить дисбалансы в бюджетной политике и провести оздоровление банковской и финансовой системы. К таким странам можно отнести Россию, Индию, Мексику.</w:t>
      </w:r>
    </w:p>
    <w:p w:rsidR="00167952" w:rsidRPr="00167952" w:rsidRDefault="00167952" w:rsidP="00167952">
      <w:pPr>
        <w:spacing w:before="80" w:after="80"/>
        <w:jc w:val="both"/>
        <w:rPr>
          <w:rFonts w:ascii="Times New Roman" w:hAnsi="Times New Roman"/>
          <w:sz w:val="24"/>
          <w:szCs w:val="24"/>
        </w:rPr>
      </w:pPr>
      <w:r w:rsidRPr="00167952">
        <w:rPr>
          <w:rFonts w:ascii="Times New Roman" w:hAnsi="Times New Roman"/>
          <w:sz w:val="24"/>
          <w:szCs w:val="24"/>
        </w:rPr>
        <w:t xml:space="preserve">Проигравшими станут страны, не признавшие прошлые ошибки в экономической политике и не пошедшие по пути подстройки к новой реальности. Такие страны за последние два года нарастили бюджетные и структурные дисбалансы, стали более зависимы от внешнего финансирования и/или накопили потенциал неустойчивости на внутренних финансовых рынках. Ухудшение внешних условий заимствований создаст значительные риски для таких стран. Наиболее зависимые от внешнего финансирования страны (такие как Аргентина или Турция) уже начали испытывать значительные </w:t>
      </w:r>
      <w:r>
        <w:rPr>
          <w:rFonts w:ascii="Times New Roman" w:hAnsi="Times New Roman"/>
          <w:sz w:val="24"/>
          <w:szCs w:val="24"/>
        </w:rPr>
        <w:t>трудности</w:t>
      </w:r>
      <w:r w:rsidRPr="00167952">
        <w:rPr>
          <w:rFonts w:ascii="Times New Roman" w:hAnsi="Times New Roman"/>
          <w:sz w:val="24"/>
          <w:szCs w:val="24"/>
        </w:rPr>
        <w:t>.</w:t>
      </w:r>
    </w:p>
    <w:p w:rsidR="004E2069" w:rsidRDefault="00167952" w:rsidP="005758A0">
      <w:pPr>
        <w:spacing w:before="120" w:after="120"/>
        <w:jc w:val="both"/>
        <w:rPr>
          <w:rFonts w:ascii="Times New Roman" w:hAnsi="Times New Roman"/>
          <w:b/>
          <w:sz w:val="28"/>
          <w:szCs w:val="24"/>
        </w:rPr>
      </w:pPr>
      <w:r>
        <w:rPr>
          <w:rFonts w:ascii="Times New Roman" w:hAnsi="Times New Roman"/>
          <w:b/>
          <w:sz w:val="28"/>
          <w:szCs w:val="24"/>
        </w:rPr>
        <w:t>Условия торговли</w:t>
      </w:r>
    </w:p>
    <w:p w:rsidR="00167952" w:rsidRPr="00167952" w:rsidRDefault="00167952" w:rsidP="00167952">
      <w:pPr>
        <w:spacing w:before="80" w:after="80"/>
        <w:jc w:val="both"/>
        <w:rPr>
          <w:rFonts w:ascii="Times New Roman" w:hAnsi="Times New Roman"/>
          <w:sz w:val="24"/>
          <w:szCs w:val="24"/>
        </w:rPr>
      </w:pPr>
      <w:r w:rsidRPr="00167952">
        <w:rPr>
          <w:rFonts w:ascii="Times New Roman" w:hAnsi="Times New Roman"/>
          <w:sz w:val="24"/>
          <w:szCs w:val="24"/>
        </w:rPr>
        <w:t>В 2018 году цены на нефть достигли новых максимумов уровней с 2014 года. Основными факторами</w:t>
      </w:r>
      <w:r w:rsidR="00050E30">
        <w:rPr>
          <w:rFonts w:ascii="Times New Roman" w:hAnsi="Times New Roman"/>
          <w:sz w:val="24"/>
          <w:szCs w:val="24"/>
        </w:rPr>
        <w:t xml:space="preserve"> роста цен</w:t>
      </w:r>
      <w:r w:rsidRPr="00167952">
        <w:rPr>
          <w:rFonts w:ascii="Times New Roman" w:hAnsi="Times New Roman"/>
          <w:sz w:val="24"/>
          <w:szCs w:val="24"/>
        </w:rPr>
        <w:t xml:space="preserve"> стали экономический кризис и обвал добычи нефти в Венесуэле, а также намерение США «обнулить добычу Ирана» после выхода из ядерной сделки (СВПД). Несмотря на это, устойчивые цены рынка нефти находятся ниже</w:t>
      </w:r>
      <w:r w:rsidR="00050E30">
        <w:rPr>
          <w:rFonts w:ascii="Times New Roman" w:hAnsi="Times New Roman"/>
          <w:sz w:val="24"/>
          <w:szCs w:val="24"/>
        </w:rPr>
        <w:t xml:space="preserve"> текущих значений</w:t>
      </w:r>
      <w:r w:rsidRPr="00167952">
        <w:rPr>
          <w:rFonts w:ascii="Times New Roman" w:hAnsi="Times New Roman"/>
          <w:sz w:val="24"/>
          <w:szCs w:val="24"/>
        </w:rPr>
        <w:t>, в районе порядка 50 долларов США за баррель, а произошедший рост следует расценивать как временный.</w:t>
      </w:r>
    </w:p>
    <w:p w:rsidR="00167952" w:rsidRPr="00167952" w:rsidRDefault="00167952" w:rsidP="00167952">
      <w:pPr>
        <w:spacing w:before="80" w:after="80"/>
        <w:jc w:val="both"/>
        <w:rPr>
          <w:rFonts w:ascii="Times New Roman" w:hAnsi="Times New Roman"/>
          <w:sz w:val="24"/>
          <w:szCs w:val="24"/>
        </w:rPr>
      </w:pPr>
      <w:r w:rsidRPr="00167952">
        <w:rPr>
          <w:rFonts w:ascii="Times New Roman" w:hAnsi="Times New Roman"/>
          <w:sz w:val="24"/>
          <w:szCs w:val="24"/>
        </w:rPr>
        <w:t>Постепенно растущий мировой спрос на нефть требует постоянных инвестиций. Это определяет работу механизма рыночной балансировки, при котором инвестиции и цены на нефть начинают оказывать взаимное влияние друг на друга. В случае низких цен отдача вложений в добычу недостаточна, поэтому инвестиции сокращаются, а рынок довольно быстро приходит к дефицитному состоянию. В ответ цена на нефть начинает двигаться к равновесным уровням. Напротив, при высоких ценах на нефть прибыльными становится слишком много добывающих проектов, избыточные вложения капитала приводят к перенасыщению рын</w:t>
      </w:r>
      <w:r w:rsidR="00992E9D">
        <w:rPr>
          <w:rFonts w:ascii="Times New Roman" w:hAnsi="Times New Roman"/>
          <w:sz w:val="24"/>
          <w:szCs w:val="24"/>
        </w:rPr>
        <w:t>ка и последующему снижению цен.</w:t>
      </w:r>
    </w:p>
    <w:p w:rsidR="00167952" w:rsidRPr="00167952" w:rsidRDefault="00167952" w:rsidP="00167952">
      <w:pPr>
        <w:spacing w:before="80" w:after="80"/>
        <w:jc w:val="both"/>
        <w:rPr>
          <w:rFonts w:ascii="Times New Roman" w:hAnsi="Times New Roman"/>
          <w:sz w:val="24"/>
          <w:szCs w:val="24"/>
        </w:rPr>
      </w:pPr>
      <w:r w:rsidRPr="00167952">
        <w:rPr>
          <w:rFonts w:ascii="Times New Roman" w:hAnsi="Times New Roman"/>
          <w:sz w:val="24"/>
          <w:szCs w:val="24"/>
        </w:rPr>
        <w:t xml:space="preserve">Балансировка не может происходить мгновенно, поскольку между инвестициями и добычей имеется заметный временной зазор. Из-за этого рынок склонен к </w:t>
      </w:r>
      <w:r w:rsidRPr="00167952">
        <w:rPr>
          <w:rFonts w:ascii="Times New Roman" w:hAnsi="Times New Roman"/>
          <w:sz w:val="24"/>
          <w:szCs w:val="24"/>
        </w:rPr>
        <w:lastRenderedPageBreak/>
        <w:t>периодическим циклическим изменениям цены, когда периоды переинвестирования и депрессивных цен сменяются временем недостаточных капиталовложений. Однако в среднем, цены колеблются вокруг равновесных цен, которые определяются структурой полных издержек извлечения. Решающее значение в определении равновесия имеют «худшие» или маржинальные источники, которые при данной цене способны удовлетворить остаточный спрос, остающийся после объема обеспеченного проектами н</w:t>
      </w:r>
      <w:r w:rsidR="00992E9D">
        <w:rPr>
          <w:rFonts w:ascii="Times New Roman" w:hAnsi="Times New Roman"/>
          <w:sz w:val="24"/>
          <w:szCs w:val="24"/>
        </w:rPr>
        <w:t>ефтедобычи с лучшей экономикой.</w:t>
      </w:r>
    </w:p>
    <w:p w:rsidR="00167952" w:rsidRPr="00167952" w:rsidRDefault="00167952" w:rsidP="00167952">
      <w:pPr>
        <w:spacing w:before="80" w:after="80"/>
        <w:jc w:val="both"/>
        <w:rPr>
          <w:rFonts w:ascii="Times New Roman" w:hAnsi="Times New Roman"/>
          <w:sz w:val="24"/>
          <w:szCs w:val="24"/>
        </w:rPr>
      </w:pPr>
      <w:r w:rsidRPr="00167952">
        <w:rPr>
          <w:rFonts w:ascii="Times New Roman" w:hAnsi="Times New Roman"/>
          <w:sz w:val="24"/>
          <w:szCs w:val="24"/>
        </w:rPr>
        <w:t>В настоящее время таким главным маржинальным источником добычи в мире является сланцевая добыча США, с границей рентабельности около 50 долларов США за баррель. К этому добавляются шельфовые проекты (Бразилия, Ангола, Нигерия) с требуемой ценой от 40 до 60 долларов США за баррель, а также добыча из битумных песков Канады, которые получают достаточную прибыль при ценах порядка 50-60 долларов США за баррель. Таким образом, цены в районе 50 долларов за баррель достаточны для сба</w:t>
      </w:r>
      <w:r w:rsidR="00992E9D">
        <w:rPr>
          <w:rFonts w:ascii="Times New Roman" w:hAnsi="Times New Roman"/>
          <w:sz w:val="24"/>
          <w:szCs w:val="24"/>
        </w:rPr>
        <w:t>лансированности мирового рынка.</w:t>
      </w:r>
    </w:p>
    <w:p w:rsidR="00167952" w:rsidRPr="00167952" w:rsidRDefault="00050E30" w:rsidP="00167952">
      <w:pPr>
        <w:spacing w:before="80" w:after="80"/>
        <w:jc w:val="both"/>
        <w:rPr>
          <w:rFonts w:ascii="Times New Roman" w:hAnsi="Times New Roman"/>
          <w:sz w:val="24"/>
          <w:szCs w:val="24"/>
        </w:rPr>
      </w:pPr>
      <w:r w:rsidRPr="00167952">
        <w:rPr>
          <w:rFonts w:ascii="Times New Roman" w:hAnsi="Times New Roman"/>
          <w:sz w:val="24"/>
          <w:szCs w:val="24"/>
        </w:rPr>
        <w:t xml:space="preserve">Однако </w:t>
      </w:r>
      <w:r>
        <w:rPr>
          <w:rFonts w:ascii="Times New Roman" w:hAnsi="Times New Roman"/>
          <w:sz w:val="24"/>
          <w:szCs w:val="24"/>
        </w:rPr>
        <w:t>наблюдаемые сейчас высокие цены поддерживаются</w:t>
      </w:r>
      <w:r w:rsidRPr="00167952">
        <w:rPr>
          <w:rFonts w:ascii="Times New Roman" w:hAnsi="Times New Roman"/>
          <w:sz w:val="24"/>
          <w:szCs w:val="24"/>
        </w:rPr>
        <w:t xml:space="preserve"> </w:t>
      </w:r>
      <w:r>
        <w:rPr>
          <w:rFonts w:ascii="Times New Roman" w:hAnsi="Times New Roman"/>
          <w:sz w:val="24"/>
          <w:szCs w:val="24"/>
        </w:rPr>
        <w:t>преимущественно временными</w:t>
      </w:r>
      <w:r w:rsidRPr="00167952">
        <w:rPr>
          <w:rFonts w:ascii="Times New Roman" w:hAnsi="Times New Roman"/>
          <w:sz w:val="24"/>
          <w:szCs w:val="24"/>
        </w:rPr>
        <w:t xml:space="preserve"> фактор</w:t>
      </w:r>
      <w:r>
        <w:rPr>
          <w:rFonts w:ascii="Times New Roman" w:hAnsi="Times New Roman"/>
          <w:sz w:val="24"/>
          <w:szCs w:val="24"/>
        </w:rPr>
        <w:t xml:space="preserve">ами, включая </w:t>
      </w:r>
      <w:r w:rsidRPr="00167952">
        <w:rPr>
          <w:rFonts w:ascii="Times New Roman" w:hAnsi="Times New Roman"/>
          <w:sz w:val="24"/>
          <w:szCs w:val="24"/>
        </w:rPr>
        <w:t>геополити</w:t>
      </w:r>
      <w:r>
        <w:rPr>
          <w:rFonts w:ascii="Times New Roman" w:hAnsi="Times New Roman"/>
          <w:sz w:val="24"/>
          <w:szCs w:val="24"/>
        </w:rPr>
        <w:t>ческие</w:t>
      </w:r>
      <w:r w:rsidRPr="00167952">
        <w:rPr>
          <w:rFonts w:ascii="Times New Roman" w:hAnsi="Times New Roman"/>
          <w:sz w:val="24"/>
          <w:szCs w:val="24"/>
        </w:rPr>
        <w:t>.</w:t>
      </w:r>
      <w:r w:rsidR="00167952" w:rsidRPr="00167952">
        <w:rPr>
          <w:rFonts w:ascii="Times New Roman" w:hAnsi="Times New Roman"/>
          <w:sz w:val="24"/>
          <w:szCs w:val="24"/>
        </w:rPr>
        <w:t xml:space="preserve"> В 2018 году произошел невероятно быстрый обвал добычи Венесуэлы (производство страны сократилось на треть ниже квоты ОПЕК). Политика США создает риск перехода мирового рынка в состояние дефицита. Администрация Дональда Трампа угрожает ввести санкции против Венесуэлы из-за недостатка демократии в стране. Но решающим фактором стал выход США из ядерной сделки с Ираном, в результате чего в конце 2018 года должны возобновиться полноценные санкции. Главной целью ставится подрыв экспортных </w:t>
      </w:r>
      <w:r w:rsidR="00992E9D">
        <w:rPr>
          <w:rFonts w:ascii="Times New Roman" w:hAnsi="Times New Roman"/>
          <w:sz w:val="24"/>
          <w:szCs w:val="24"/>
        </w:rPr>
        <w:t>доходов Ирана от продажи нефти.</w:t>
      </w:r>
    </w:p>
    <w:p w:rsidR="00167952" w:rsidRDefault="00167952" w:rsidP="00167952">
      <w:pPr>
        <w:spacing w:before="80" w:after="80"/>
        <w:jc w:val="both"/>
        <w:rPr>
          <w:rFonts w:ascii="Times New Roman" w:hAnsi="Times New Roman"/>
          <w:sz w:val="24"/>
          <w:szCs w:val="24"/>
        </w:rPr>
      </w:pPr>
      <w:r w:rsidRPr="00167952">
        <w:rPr>
          <w:rFonts w:ascii="Times New Roman" w:hAnsi="Times New Roman"/>
          <w:sz w:val="24"/>
          <w:szCs w:val="24"/>
        </w:rPr>
        <w:t>Складывающая ситуация аналогична периоду высоких цен на нефть 2011-2013 годов. В это время маржинальные издержки извлечения цен на нефть находились на уровнях порядка 80-90 долларов США за баррель, определяясь издержками сверхглубоководного и арктического шельфа, добычей нефти из битуминозных песков Канады и Венесуэлы, а также сланцевой добычей США (имевшей в то врем</w:t>
      </w:r>
      <w:r>
        <w:rPr>
          <w:rFonts w:ascii="Times New Roman" w:hAnsi="Times New Roman"/>
          <w:sz w:val="24"/>
          <w:szCs w:val="24"/>
        </w:rPr>
        <w:t>я низкую эффективность).</w:t>
      </w:r>
    </w:p>
    <w:p w:rsidR="00992E9D" w:rsidRPr="00167952" w:rsidRDefault="00992E9D" w:rsidP="00992E9D">
      <w:pPr>
        <w:spacing w:before="80" w:after="80"/>
        <w:jc w:val="both"/>
        <w:rPr>
          <w:rFonts w:ascii="Times New Roman" w:hAnsi="Times New Roman"/>
          <w:sz w:val="24"/>
          <w:szCs w:val="24"/>
        </w:rPr>
      </w:pPr>
      <w:r w:rsidRPr="00167952">
        <w:rPr>
          <w:rFonts w:ascii="Times New Roman" w:hAnsi="Times New Roman"/>
          <w:sz w:val="24"/>
          <w:szCs w:val="24"/>
        </w:rPr>
        <w:t xml:space="preserve">Несмотря на это цены на нефть находились выше долгосрочного равновесия, колеблясь около 110 долларов США за баррель. Этому способствовала комбинация факторов, включая Арабскую весну 2011 года, спровоцировавшей войны в Ливии и Сирии, которые обвали добычу этих стран. В 2012 году экспорт нефти Ирана был значительно подорван санкциями ООН из-за ядерной программы. Затем, после периода высоких цен 2011-2013 годов последовала ценовая война ОПЕК со сланцевой добычей США, а маржинальные издержки извлечения нефти во всем мире снизились до текущих 50-60 долларов США за баррель. </w:t>
      </w:r>
    </w:p>
    <w:p w:rsidR="00992E9D" w:rsidRPr="00167952" w:rsidRDefault="00992E9D" w:rsidP="00992E9D">
      <w:pPr>
        <w:spacing w:before="80" w:after="80"/>
        <w:jc w:val="both"/>
        <w:rPr>
          <w:rFonts w:ascii="Times New Roman" w:hAnsi="Times New Roman"/>
          <w:sz w:val="24"/>
          <w:szCs w:val="24"/>
        </w:rPr>
      </w:pPr>
      <w:r w:rsidRPr="00167952">
        <w:rPr>
          <w:rFonts w:ascii="Times New Roman" w:hAnsi="Times New Roman"/>
          <w:sz w:val="24"/>
          <w:szCs w:val="24"/>
        </w:rPr>
        <w:t>Таким образом, если стоимость нефти продолжат оставаться выше долгосрочных равновесных уровней, обвал цен повторится вновь. Ресурсов для добычи в мире достаточно – США, Канада, другие страны имеют возможности и будут наращивать производство</w:t>
      </w:r>
      <w:r>
        <w:rPr>
          <w:rFonts w:ascii="Times New Roman" w:hAnsi="Times New Roman"/>
          <w:sz w:val="24"/>
          <w:szCs w:val="24"/>
        </w:rPr>
        <w:t>.</w:t>
      </w:r>
    </w:p>
    <w:p w:rsidR="00992E9D" w:rsidRDefault="00992E9D" w:rsidP="00167952">
      <w:pPr>
        <w:spacing w:before="80" w:after="80"/>
        <w:jc w:val="both"/>
        <w:rPr>
          <w:rFonts w:ascii="Times New Roman" w:hAnsi="Times New Roman"/>
          <w:sz w:val="24"/>
          <w:szCs w:val="24"/>
        </w:rPr>
      </w:pPr>
    </w:p>
    <w:p w:rsidR="00992E9D" w:rsidRDefault="00992E9D" w:rsidP="00167952">
      <w:pPr>
        <w:spacing w:before="80" w:after="80"/>
        <w:jc w:val="both"/>
        <w:rPr>
          <w:rFonts w:ascii="Times New Roman" w:hAnsi="Times New Roman"/>
          <w:sz w:val="24"/>
          <w:szCs w:val="24"/>
        </w:rPr>
      </w:pPr>
    </w:p>
    <w:tbl>
      <w:tblPr>
        <w:tblStyle w:val="Smalltable"/>
        <w:tblW w:w="11591" w:type="dxa"/>
        <w:tblInd w:w="-823" w:type="dxa"/>
        <w:tblLook w:val="04A0" w:firstRow="1" w:lastRow="0" w:firstColumn="1" w:lastColumn="0" w:noHBand="0" w:noVBand="1"/>
      </w:tblPr>
      <w:tblGrid>
        <w:gridCol w:w="5286"/>
        <w:gridCol w:w="222"/>
        <w:gridCol w:w="5320"/>
        <w:gridCol w:w="763"/>
      </w:tblGrid>
      <w:tr w:rsidR="00167952" w:rsidRPr="008823F8" w:rsidTr="00823010">
        <w:trPr>
          <w:gridAfter w:val="1"/>
          <w:wAfter w:w="763" w:type="dxa"/>
          <w:trHeight w:val="198"/>
        </w:trPr>
        <w:tc>
          <w:tcPr>
            <w:tcW w:w="5286" w:type="dxa"/>
            <w:shd w:val="clear" w:color="auto" w:fill="auto"/>
          </w:tcPr>
          <w:p w:rsidR="00167952" w:rsidRPr="0094040E" w:rsidRDefault="00167952" w:rsidP="00823010">
            <w:pPr>
              <w:suppressAutoHyphens/>
              <w:spacing w:before="120" w:after="40"/>
              <w:rPr>
                <w:rFonts w:ascii="Times New Roman" w:hAnsi="Times New Roman"/>
                <w:b/>
                <w:sz w:val="24"/>
                <w:szCs w:val="24"/>
                <w:lang w:val="ru-RU" w:bidi="ml-IN"/>
              </w:rPr>
            </w:pPr>
            <w:r w:rsidRPr="00167952">
              <w:rPr>
                <w:rFonts w:ascii="Times New Roman" w:hAnsi="Times New Roman"/>
                <w:b/>
                <w:sz w:val="24"/>
                <w:szCs w:val="24"/>
                <w:lang w:val="ru-RU" w:bidi="ml-IN"/>
              </w:rPr>
              <w:t>Спрос и предложение мирового рынка нефти</w:t>
            </w:r>
          </w:p>
        </w:tc>
        <w:tc>
          <w:tcPr>
            <w:tcW w:w="222" w:type="dxa"/>
            <w:shd w:val="clear" w:color="auto" w:fill="auto"/>
          </w:tcPr>
          <w:p w:rsidR="00167952" w:rsidRPr="008823F8" w:rsidRDefault="00167952" w:rsidP="00823010">
            <w:pPr>
              <w:suppressAutoHyphens/>
              <w:spacing w:before="120" w:after="40"/>
              <w:rPr>
                <w:rFonts w:ascii="Times New Roman" w:hAnsi="Times New Roman"/>
                <w:sz w:val="24"/>
                <w:szCs w:val="24"/>
                <w:lang w:val="ru-RU" w:bidi="ml-IN"/>
              </w:rPr>
            </w:pPr>
          </w:p>
        </w:tc>
        <w:tc>
          <w:tcPr>
            <w:tcW w:w="5320" w:type="dxa"/>
            <w:shd w:val="clear" w:color="auto" w:fill="auto"/>
          </w:tcPr>
          <w:p w:rsidR="00167952" w:rsidRPr="008823F8" w:rsidRDefault="00167952" w:rsidP="00823010">
            <w:pPr>
              <w:suppressAutoHyphens/>
              <w:spacing w:before="120" w:after="40"/>
              <w:rPr>
                <w:rFonts w:ascii="Times New Roman" w:hAnsi="Times New Roman"/>
                <w:b/>
                <w:sz w:val="24"/>
                <w:szCs w:val="24"/>
                <w:lang w:val="ru-RU" w:bidi="ml-IN"/>
              </w:rPr>
            </w:pPr>
            <w:r w:rsidRPr="00167952">
              <w:rPr>
                <w:rFonts w:ascii="Times New Roman" w:hAnsi="Times New Roman"/>
                <w:b/>
                <w:sz w:val="24"/>
                <w:szCs w:val="24"/>
                <w:lang w:val="ru-RU" w:bidi="ml-IN"/>
              </w:rPr>
              <w:t>Изменение добычи сырой нефти, 2010 г. = 0</w:t>
            </w:r>
          </w:p>
        </w:tc>
      </w:tr>
      <w:tr w:rsidR="00167952" w:rsidRPr="008823F8" w:rsidTr="00823010">
        <w:trPr>
          <w:trHeight w:hRule="exact" w:val="28"/>
        </w:trPr>
        <w:tc>
          <w:tcPr>
            <w:tcW w:w="5286" w:type="dxa"/>
            <w:tcBorders>
              <w:bottom w:val="single" w:sz="4" w:space="0" w:color="auto"/>
            </w:tcBorders>
            <w:shd w:val="clear" w:color="auto" w:fill="auto"/>
          </w:tcPr>
          <w:p w:rsidR="00167952" w:rsidRPr="006F0FD8" w:rsidRDefault="00167952" w:rsidP="00823010">
            <w:pPr>
              <w:rPr>
                <w:rFonts w:ascii="Times New Roman" w:hAnsi="Times New Roman"/>
                <w:lang w:val="ru-RU" w:bidi="ml-IN"/>
              </w:rPr>
            </w:pPr>
          </w:p>
        </w:tc>
        <w:tc>
          <w:tcPr>
            <w:tcW w:w="222" w:type="dxa"/>
            <w:shd w:val="clear" w:color="auto" w:fill="auto"/>
          </w:tcPr>
          <w:p w:rsidR="00167952" w:rsidRPr="006F0FD8" w:rsidRDefault="00167952" w:rsidP="00823010">
            <w:pPr>
              <w:rPr>
                <w:rFonts w:ascii="Times New Roman" w:hAnsi="Times New Roman"/>
                <w:lang w:val="ru-RU" w:bidi="ml-IN"/>
              </w:rPr>
            </w:pPr>
          </w:p>
        </w:tc>
        <w:tc>
          <w:tcPr>
            <w:tcW w:w="5320" w:type="dxa"/>
            <w:tcBorders>
              <w:bottom w:val="single" w:sz="4" w:space="0" w:color="auto"/>
            </w:tcBorders>
            <w:shd w:val="clear" w:color="auto" w:fill="auto"/>
          </w:tcPr>
          <w:p w:rsidR="00167952" w:rsidRPr="006F0FD8" w:rsidRDefault="00167952" w:rsidP="00823010">
            <w:pPr>
              <w:rPr>
                <w:rFonts w:ascii="Times New Roman" w:hAnsi="Times New Roman"/>
                <w:lang w:val="ru-RU" w:bidi="ml-IN"/>
              </w:rPr>
            </w:pPr>
          </w:p>
        </w:tc>
        <w:tc>
          <w:tcPr>
            <w:tcW w:w="763" w:type="dxa"/>
            <w:shd w:val="clear" w:color="auto" w:fill="auto"/>
          </w:tcPr>
          <w:p w:rsidR="00167952" w:rsidRPr="006F0FD8" w:rsidRDefault="00167952" w:rsidP="00823010">
            <w:pPr>
              <w:rPr>
                <w:rFonts w:ascii="Times New Roman" w:hAnsi="Times New Roman"/>
                <w:lang w:val="ru-RU" w:bidi="ml-IN"/>
              </w:rPr>
            </w:pPr>
          </w:p>
        </w:tc>
      </w:tr>
      <w:tr w:rsidR="00167952" w:rsidRPr="008823F8" w:rsidTr="00823010">
        <w:tblPrEx>
          <w:tblCellMar>
            <w:left w:w="108" w:type="dxa"/>
            <w:right w:w="108" w:type="dxa"/>
          </w:tblCellMar>
        </w:tblPrEx>
        <w:trPr>
          <w:gridAfter w:val="1"/>
          <w:wAfter w:w="763" w:type="dxa"/>
          <w:trHeight w:val="2200"/>
        </w:trPr>
        <w:tc>
          <w:tcPr>
            <w:tcW w:w="5286" w:type="dxa"/>
            <w:tcBorders>
              <w:top w:val="single" w:sz="4" w:space="0" w:color="auto"/>
              <w:bottom w:val="single" w:sz="4" w:space="0" w:color="auto"/>
            </w:tcBorders>
            <w:shd w:val="clear" w:color="auto" w:fill="auto"/>
            <w:tcMar>
              <w:left w:w="0" w:type="nil"/>
              <w:right w:w="0" w:type="nil"/>
            </w:tcMar>
            <w:vAlign w:val="center"/>
          </w:tcPr>
          <w:p w:rsidR="00167952" w:rsidRPr="0094040E" w:rsidRDefault="00167952" w:rsidP="00823010">
            <w:pPr>
              <w:jc w:val="center"/>
              <w:rPr>
                <w:rFonts w:ascii="Times New Roman" w:hAnsi="Times New Roman"/>
                <w:lang w:val="ru-RU" w:bidi="ml-IN"/>
              </w:rPr>
            </w:pPr>
            <w:r>
              <w:rPr>
                <w:noProof/>
                <w:lang w:eastAsia="ru-RU"/>
              </w:rPr>
              <w:drawing>
                <wp:inline distT="0" distB="0" distL="0" distR="0" wp14:anchorId="40E2B117" wp14:editId="53B084F7">
                  <wp:extent cx="3040083" cy="2754630"/>
                  <wp:effectExtent l="0" t="0" r="8255" b="762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22" w:type="dxa"/>
            <w:shd w:val="clear" w:color="auto" w:fill="auto"/>
            <w:tcMar>
              <w:left w:w="0" w:type="nil"/>
              <w:right w:w="0" w:type="nil"/>
            </w:tcMar>
          </w:tcPr>
          <w:p w:rsidR="00167952" w:rsidRPr="0094040E" w:rsidRDefault="00167952" w:rsidP="00823010">
            <w:pPr>
              <w:rPr>
                <w:rFonts w:ascii="Times New Roman" w:hAnsi="Times New Roman"/>
                <w:lang w:val="ru-RU" w:bidi="ml-IN"/>
              </w:rPr>
            </w:pPr>
          </w:p>
        </w:tc>
        <w:tc>
          <w:tcPr>
            <w:tcW w:w="5320" w:type="dxa"/>
            <w:tcBorders>
              <w:top w:val="single" w:sz="4" w:space="0" w:color="auto"/>
              <w:bottom w:val="single" w:sz="4" w:space="0" w:color="auto"/>
            </w:tcBorders>
            <w:shd w:val="clear" w:color="auto" w:fill="auto"/>
            <w:tcMar>
              <w:left w:w="0" w:type="nil"/>
              <w:right w:w="0" w:type="nil"/>
            </w:tcMar>
            <w:vAlign w:val="center"/>
          </w:tcPr>
          <w:p w:rsidR="00167952" w:rsidRPr="0094040E" w:rsidRDefault="00167952" w:rsidP="00823010">
            <w:pPr>
              <w:jc w:val="center"/>
              <w:rPr>
                <w:rFonts w:ascii="Times New Roman" w:hAnsi="Times New Roman"/>
                <w:lang w:val="ru-RU" w:bidi="ml-IN"/>
              </w:rPr>
            </w:pPr>
            <w:r>
              <w:rPr>
                <w:noProof/>
                <w:lang w:eastAsia="ru-RU"/>
              </w:rPr>
              <w:drawing>
                <wp:inline distT="0" distB="0" distL="0" distR="0" wp14:anchorId="35E9C7C1" wp14:editId="64A110A7">
                  <wp:extent cx="3182587" cy="2707005"/>
                  <wp:effectExtent l="0" t="0" r="0" b="0"/>
                  <wp:docPr id="291" name="Диаграмма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167952" w:rsidRPr="008823F8" w:rsidTr="00823010">
        <w:trPr>
          <w:gridAfter w:val="1"/>
          <w:wAfter w:w="763" w:type="dxa"/>
          <w:trHeight w:val="198"/>
        </w:trPr>
        <w:tc>
          <w:tcPr>
            <w:tcW w:w="5286" w:type="dxa"/>
            <w:tcBorders>
              <w:top w:val="single" w:sz="4" w:space="0" w:color="auto"/>
            </w:tcBorders>
            <w:shd w:val="clear" w:color="auto" w:fill="auto"/>
          </w:tcPr>
          <w:p w:rsidR="00167952" w:rsidRPr="006F0FD8" w:rsidRDefault="00167952" w:rsidP="00823010">
            <w:pPr>
              <w:suppressAutoHyphens/>
              <w:spacing w:after="240" w:line="160" w:lineRule="atLeast"/>
              <w:rPr>
                <w:rFonts w:ascii="Times New Roman" w:hAnsi="Times New Roman"/>
                <w:i/>
                <w:sz w:val="14"/>
                <w:szCs w:val="14"/>
                <w:lang w:val="ru-RU" w:bidi="ml-IN"/>
              </w:rPr>
            </w:pPr>
            <w:r w:rsidRPr="00167952">
              <w:rPr>
                <w:rFonts w:ascii="Times New Roman" w:hAnsi="Times New Roman"/>
                <w:i/>
                <w:sz w:val="14"/>
                <w:szCs w:val="14"/>
                <w:lang w:val="ru-RU" w:bidi="ml-IN"/>
              </w:rPr>
              <w:t>Источник: Reuters, Департамент энергетики США, расчеты Минфина Ро</w:t>
            </w:r>
          </w:p>
        </w:tc>
        <w:tc>
          <w:tcPr>
            <w:tcW w:w="222" w:type="dxa"/>
            <w:shd w:val="clear" w:color="auto" w:fill="auto"/>
          </w:tcPr>
          <w:p w:rsidR="00167952" w:rsidRPr="006F0FD8" w:rsidRDefault="00167952" w:rsidP="00823010">
            <w:pPr>
              <w:suppressAutoHyphens/>
              <w:spacing w:after="240" w:line="160" w:lineRule="atLeast"/>
              <w:rPr>
                <w:rFonts w:ascii="Times New Roman" w:hAnsi="Times New Roman"/>
                <w:sz w:val="14"/>
                <w:szCs w:val="14"/>
                <w:lang w:val="ru-RU" w:bidi="ml-IN"/>
              </w:rPr>
            </w:pPr>
          </w:p>
        </w:tc>
        <w:tc>
          <w:tcPr>
            <w:tcW w:w="5320" w:type="dxa"/>
            <w:tcBorders>
              <w:top w:val="single" w:sz="4" w:space="0" w:color="auto"/>
            </w:tcBorders>
            <w:shd w:val="clear" w:color="auto" w:fill="auto"/>
          </w:tcPr>
          <w:p w:rsidR="00167952" w:rsidRPr="00167952" w:rsidRDefault="00167952" w:rsidP="00823010">
            <w:pPr>
              <w:suppressAutoHyphens/>
              <w:spacing w:after="240" w:line="160" w:lineRule="atLeast"/>
              <w:rPr>
                <w:rFonts w:ascii="Times New Roman" w:hAnsi="Times New Roman"/>
                <w:i/>
                <w:sz w:val="14"/>
                <w:szCs w:val="14"/>
                <w:lang w:val="ru-RU" w:bidi="ml-IN"/>
              </w:rPr>
            </w:pPr>
            <w:r w:rsidRPr="00167952">
              <w:rPr>
                <w:rFonts w:ascii="Times New Roman" w:hAnsi="Times New Roman"/>
                <w:i/>
                <w:sz w:val="14"/>
                <w:szCs w:val="14"/>
                <w:lang w:val="ru-RU" w:bidi="ml-IN"/>
              </w:rPr>
              <w:t>Источник: Reuters, Департамент энергетики США, расчеты Минфина России</w:t>
            </w:r>
          </w:p>
        </w:tc>
      </w:tr>
    </w:tbl>
    <w:p w:rsidR="004E2069" w:rsidRPr="00B61C48" w:rsidRDefault="004E2069" w:rsidP="00711F0F">
      <w:pPr>
        <w:pStyle w:val="20"/>
        <w:numPr>
          <w:ilvl w:val="1"/>
          <w:numId w:val="3"/>
        </w:numPr>
        <w:spacing w:before="60" w:after="60" w:line="259" w:lineRule="auto"/>
        <w:rPr>
          <w:rFonts w:ascii="Times New Roman" w:hAnsi="Times New Roman"/>
          <w:sz w:val="28"/>
          <w:szCs w:val="28"/>
        </w:rPr>
      </w:pPr>
      <w:bookmarkStart w:id="16" w:name="_Toc442927404"/>
      <w:bookmarkStart w:id="17" w:name="_Toc518648651"/>
      <w:r w:rsidRPr="00B61C48">
        <w:rPr>
          <w:rFonts w:ascii="Times New Roman" w:hAnsi="Times New Roman"/>
          <w:sz w:val="28"/>
          <w:szCs w:val="28"/>
        </w:rPr>
        <w:t>В</w:t>
      </w:r>
      <w:bookmarkEnd w:id="16"/>
      <w:r w:rsidRPr="00B61C48">
        <w:rPr>
          <w:rFonts w:ascii="Times New Roman" w:hAnsi="Times New Roman"/>
          <w:sz w:val="28"/>
          <w:szCs w:val="28"/>
        </w:rPr>
        <w:t>НУТРЕННИЕ УСЛОВИЯ</w:t>
      </w:r>
      <w:bookmarkEnd w:id="17"/>
    </w:p>
    <w:p w:rsidR="00383EB8" w:rsidRDefault="00992E9D" w:rsidP="00992E9D">
      <w:pPr>
        <w:spacing w:before="80" w:after="80"/>
        <w:jc w:val="both"/>
        <w:rPr>
          <w:rFonts w:ascii="Times New Roman" w:hAnsi="Times New Roman"/>
          <w:sz w:val="24"/>
          <w:szCs w:val="24"/>
        </w:rPr>
      </w:pPr>
      <w:r w:rsidRPr="00992E9D">
        <w:rPr>
          <w:rFonts w:ascii="Times New Roman" w:hAnsi="Times New Roman"/>
          <w:sz w:val="24"/>
          <w:szCs w:val="24"/>
        </w:rPr>
        <w:t xml:space="preserve">Несмотря на нестабильность внешнеэкономических условий, их влияние на ситуацию в российской экономике оценивается как сдержанное. </w:t>
      </w:r>
      <w:r w:rsidR="000470E5">
        <w:rPr>
          <w:rFonts w:ascii="Times New Roman" w:hAnsi="Times New Roman"/>
          <w:sz w:val="24"/>
          <w:szCs w:val="24"/>
        </w:rPr>
        <w:t xml:space="preserve">Проведение бюджетной политики </w:t>
      </w:r>
      <w:r w:rsidRPr="00992E9D">
        <w:rPr>
          <w:rFonts w:ascii="Times New Roman" w:hAnsi="Times New Roman"/>
          <w:sz w:val="24"/>
          <w:szCs w:val="24"/>
        </w:rPr>
        <w:t>на основе «бюджетных правил» и проведение сопряженных операций на валютном рынке, переход к плавающему валютному курсу и режиму инфляционного таргетирования привели к существенному снижению зависимости внутренних экономических параметров от колебаний внешнеэкономической конъюнктуры</w:t>
      </w:r>
      <w:r w:rsidR="00383EB8" w:rsidRPr="007E776A">
        <w:rPr>
          <w:rFonts w:ascii="Times New Roman" w:hAnsi="Times New Roman"/>
          <w:sz w:val="24"/>
          <w:szCs w:val="24"/>
        </w:rPr>
        <w:t>.</w:t>
      </w:r>
    </w:p>
    <w:p w:rsidR="003B61C6" w:rsidRDefault="003B61C6" w:rsidP="003B61C6">
      <w:pPr>
        <w:spacing w:before="120" w:after="120"/>
        <w:jc w:val="both"/>
        <w:rPr>
          <w:rFonts w:ascii="Times New Roman" w:hAnsi="Times New Roman"/>
          <w:sz w:val="24"/>
          <w:szCs w:val="24"/>
        </w:rPr>
      </w:pPr>
      <w:r>
        <w:rPr>
          <w:rFonts w:ascii="Times New Roman" w:hAnsi="Times New Roman"/>
          <w:sz w:val="24"/>
          <w:szCs w:val="24"/>
        </w:rPr>
        <w:t xml:space="preserve">Кроме того, в настоящий момент </w:t>
      </w:r>
      <w:r w:rsidR="000470E5">
        <w:rPr>
          <w:rFonts w:ascii="Times New Roman" w:hAnsi="Times New Roman"/>
          <w:sz w:val="24"/>
          <w:szCs w:val="24"/>
        </w:rPr>
        <w:t xml:space="preserve">структурные пропорции экономики выгодно отличают Россию от многих стран развивающегося и развитого блока, а </w:t>
      </w:r>
      <w:r>
        <w:rPr>
          <w:rFonts w:ascii="Times New Roman" w:hAnsi="Times New Roman"/>
          <w:sz w:val="24"/>
          <w:szCs w:val="24"/>
        </w:rPr>
        <w:t xml:space="preserve"> </w:t>
      </w:r>
      <w:r w:rsidRPr="00967916">
        <w:rPr>
          <w:rFonts w:ascii="Times New Roman" w:hAnsi="Times New Roman"/>
          <w:sz w:val="24"/>
          <w:szCs w:val="24"/>
          <w:u w:val="single"/>
        </w:rPr>
        <w:t>структура роста экономики стала более здоровой</w:t>
      </w:r>
      <w:r w:rsidRPr="00967916">
        <w:rPr>
          <w:rFonts w:ascii="Times New Roman" w:hAnsi="Times New Roman"/>
          <w:sz w:val="24"/>
          <w:szCs w:val="24"/>
        </w:rPr>
        <w:t xml:space="preserve"> – она не ведет (как прежде) к накоплению дисбалансов и уязвимости от внешней конъюнктуры, а, напротив, усилена </w:t>
      </w:r>
      <w:r w:rsidRPr="00967916">
        <w:rPr>
          <w:rFonts w:ascii="Times New Roman" w:hAnsi="Times New Roman"/>
          <w:i/>
          <w:sz w:val="24"/>
          <w:szCs w:val="24"/>
        </w:rPr>
        <w:t xml:space="preserve">ростом конкурентоспособности </w:t>
      </w:r>
      <w:r w:rsidRPr="00967916">
        <w:rPr>
          <w:rFonts w:ascii="Times New Roman" w:hAnsi="Times New Roman"/>
          <w:sz w:val="24"/>
          <w:szCs w:val="24"/>
        </w:rPr>
        <w:t xml:space="preserve">и </w:t>
      </w:r>
      <w:r w:rsidRPr="00967916">
        <w:rPr>
          <w:rFonts w:ascii="Times New Roman" w:hAnsi="Times New Roman"/>
          <w:i/>
          <w:sz w:val="24"/>
          <w:szCs w:val="24"/>
        </w:rPr>
        <w:t>укреплением надежности финансового сектора</w:t>
      </w:r>
      <w:r w:rsidRPr="003F3122">
        <w:rPr>
          <w:rFonts w:ascii="Times New Roman" w:hAnsi="Times New Roman"/>
          <w:i/>
          <w:sz w:val="24"/>
          <w:szCs w:val="24"/>
        </w:rPr>
        <w:t>:</w:t>
      </w:r>
    </w:p>
    <w:p w:rsidR="003B61C6" w:rsidRDefault="003B61C6" w:rsidP="006A22F2">
      <w:pPr>
        <w:pStyle w:val="aa"/>
        <w:numPr>
          <w:ilvl w:val="0"/>
          <w:numId w:val="9"/>
        </w:numPr>
        <w:spacing w:before="120" w:after="120"/>
        <w:contextualSpacing w:val="0"/>
        <w:jc w:val="both"/>
        <w:rPr>
          <w:rFonts w:ascii="Times New Roman" w:hAnsi="Times New Roman"/>
          <w:sz w:val="24"/>
          <w:szCs w:val="24"/>
        </w:rPr>
      </w:pPr>
      <w:r w:rsidRPr="003E72B8">
        <w:rPr>
          <w:rFonts w:ascii="Times New Roman" w:hAnsi="Times New Roman"/>
          <w:b/>
          <w:sz w:val="24"/>
          <w:szCs w:val="24"/>
        </w:rPr>
        <w:t>Снижение нефтяной зависимости</w:t>
      </w:r>
      <w:r>
        <w:rPr>
          <w:rFonts w:ascii="Times New Roman" w:hAnsi="Times New Roman"/>
          <w:sz w:val="24"/>
          <w:szCs w:val="24"/>
        </w:rPr>
        <w:t xml:space="preserve"> </w:t>
      </w:r>
      <w:r w:rsidRPr="00967916">
        <w:rPr>
          <w:rFonts w:ascii="Times New Roman" w:hAnsi="Times New Roman"/>
          <w:sz w:val="24"/>
          <w:szCs w:val="24"/>
        </w:rPr>
        <w:t>– недуга, преследовавшего</w:t>
      </w:r>
      <w:r>
        <w:rPr>
          <w:rFonts w:ascii="Times New Roman" w:hAnsi="Times New Roman"/>
          <w:sz w:val="24"/>
          <w:szCs w:val="24"/>
        </w:rPr>
        <w:t xml:space="preserve"> отечественную экономику </w:t>
      </w:r>
      <w:r w:rsidRPr="00967916">
        <w:rPr>
          <w:rFonts w:ascii="Times New Roman" w:hAnsi="Times New Roman"/>
          <w:sz w:val="24"/>
          <w:szCs w:val="24"/>
        </w:rPr>
        <w:t>на протяжении в</w:t>
      </w:r>
      <w:r>
        <w:rPr>
          <w:rFonts w:ascii="Times New Roman" w:hAnsi="Times New Roman"/>
          <w:sz w:val="24"/>
          <w:szCs w:val="24"/>
        </w:rPr>
        <w:t>сей истории современной России и позднего СССР. Несмотря на подвижность нефтяной конъюнктуры, внутренние экономические условия (курс</w:t>
      </w:r>
      <w:r w:rsidRPr="003E72B8">
        <w:rPr>
          <w:rFonts w:ascii="Times New Roman" w:hAnsi="Times New Roman"/>
          <w:sz w:val="24"/>
          <w:szCs w:val="24"/>
        </w:rPr>
        <w:t>, инфляци</w:t>
      </w:r>
      <w:r>
        <w:rPr>
          <w:rFonts w:ascii="Times New Roman" w:hAnsi="Times New Roman"/>
          <w:sz w:val="24"/>
          <w:szCs w:val="24"/>
        </w:rPr>
        <w:t>я</w:t>
      </w:r>
      <w:r w:rsidRPr="003E72B8">
        <w:rPr>
          <w:rFonts w:ascii="Times New Roman" w:hAnsi="Times New Roman"/>
          <w:sz w:val="24"/>
          <w:szCs w:val="24"/>
        </w:rPr>
        <w:t>, процентны</w:t>
      </w:r>
      <w:r>
        <w:rPr>
          <w:rFonts w:ascii="Times New Roman" w:hAnsi="Times New Roman"/>
          <w:sz w:val="24"/>
          <w:szCs w:val="24"/>
        </w:rPr>
        <w:t>е</w:t>
      </w:r>
      <w:r w:rsidRPr="003E72B8">
        <w:rPr>
          <w:rFonts w:ascii="Times New Roman" w:hAnsi="Times New Roman"/>
          <w:sz w:val="24"/>
          <w:szCs w:val="24"/>
        </w:rPr>
        <w:t xml:space="preserve"> ста</w:t>
      </w:r>
      <w:r>
        <w:rPr>
          <w:rFonts w:ascii="Times New Roman" w:hAnsi="Times New Roman"/>
          <w:sz w:val="24"/>
          <w:szCs w:val="24"/>
        </w:rPr>
        <w:t>вки</w:t>
      </w:r>
      <w:r w:rsidRPr="003E72B8">
        <w:rPr>
          <w:rFonts w:ascii="Times New Roman" w:hAnsi="Times New Roman"/>
          <w:sz w:val="24"/>
          <w:szCs w:val="24"/>
        </w:rPr>
        <w:t>, рост ВВП</w:t>
      </w:r>
      <w:r>
        <w:rPr>
          <w:rFonts w:ascii="Times New Roman" w:hAnsi="Times New Roman"/>
          <w:sz w:val="24"/>
          <w:szCs w:val="24"/>
        </w:rPr>
        <w:t xml:space="preserve"> и</w:t>
      </w:r>
      <w:r w:rsidRPr="003E72B8">
        <w:rPr>
          <w:rFonts w:ascii="Times New Roman" w:hAnsi="Times New Roman"/>
          <w:sz w:val="24"/>
          <w:szCs w:val="24"/>
        </w:rPr>
        <w:t xml:space="preserve"> благосостояния граждан</w:t>
      </w:r>
      <w:r>
        <w:rPr>
          <w:rFonts w:ascii="Times New Roman" w:hAnsi="Times New Roman"/>
          <w:sz w:val="24"/>
          <w:szCs w:val="24"/>
        </w:rPr>
        <w:t>) стабильны и предсказуемы, в то время как экономика  способна динамично развиваться не полагаясь на конъюнктурную ренту.</w:t>
      </w:r>
    </w:p>
    <w:p w:rsidR="003B61C6" w:rsidRDefault="003B61C6" w:rsidP="006A22F2">
      <w:pPr>
        <w:pStyle w:val="aa"/>
        <w:numPr>
          <w:ilvl w:val="0"/>
          <w:numId w:val="9"/>
        </w:numPr>
        <w:spacing w:before="120" w:after="120"/>
        <w:contextualSpacing w:val="0"/>
        <w:jc w:val="both"/>
        <w:rPr>
          <w:rFonts w:ascii="Times New Roman" w:hAnsi="Times New Roman"/>
          <w:sz w:val="24"/>
          <w:szCs w:val="24"/>
        </w:rPr>
      </w:pPr>
      <w:r w:rsidRPr="007B57D1">
        <w:rPr>
          <w:rFonts w:ascii="Times New Roman" w:hAnsi="Times New Roman"/>
          <w:b/>
          <w:sz w:val="24"/>
          <w:szCs w:val="24"/>
        </w:rPr>
        <w:t>Повышение</w:t>
      </w:r>
      <w:r>
        <w:rPr>
          <w:rFonts w:ascii="Times New Roman" w:hAnsi="Times New Roman"/>
          <w:sz w:val="24"/>
          <w:szCs w:val="24"/>
        </w:rPr>
        <w:t xml:space="preserve"> </w:t>
      </w:r>
      <w:r w:rsidRPr="007B57D1">
        <w:rPr>
          <w:rFonts w:ascii="Times New Roman" w:hAnsi="Times New Roman"/>
          <w:b/>
          <w:sz w:val="24"/>
          <w:szCs w:val="24"/>
        </w:rPr>
        <w:t xml:space="preserve">конкурентоспособности </w:t>
      </w:r>
      <w:r>
        <w:rPr>
          <w:rFonts w:ascii="Times New Roman" w:hAnsi="Times New Roman"/>
          <w:b/>
          <w:sz w:val="24"/>
          <w:szCs w:val="24"/>
        </w:rPr>
        <w:t xml:space="preserve">и рентабельности </w:t>
      </w:r>
      <w:r w:rsidRPr="007B57D1">
        <w:rPr>
          <w:rFonts w:ascii="Times New Roman" w:hAnsi="Times New Roman"/>
          <w:b/>
          <w:sz w:val="24"/>
          <w:szCs w:val="24"/>
        </w:rPr>
        <w:t>отечественной промышленности</w:t>
      </w:r>
      <w:r>
        <w:rPr>
          <w:rFonts w:ascii="Times New Roman" w:hAnsi="Times New Roman"/>
          <w:sz w:val="24"/>
          <w:szCs w:val="24"/>
        </w:rPr>
        <w:t xml:space="preserve">. </w:t>
      </w:r>
      <w:r w:rsidRPr="00806ED5">
        <w:rPr>
          <w:rFonts w:ascii="Times New Roman" w:hAnsi="Times New Roman"/>
          <w:i/>
          <w:sz w:val="24"/>
          <w:szCs w:val="24"/>
        </w:rPr>
        <w:t>Экспорт ненефтегазового сектора</w:t>
      </w:r>
      <w:r>
        <w:rPr>
          <w:rFonts w:ascii="Times New Roman" w:hAnsi="Times New Roman"/>
          <w:sz w:val="24"/>
          <w:szCs w:val="24"/>
        </w:rPr>
        <w:t xml:space="preserve"> в реальном выражении в период 2016-2017 гг. в среднем превышал 8,0% в год, в то время как местные производители выигрывали конкуренцию и за отечественный рынок сбыта. </w:t>
      </w:r>
      <w:r w:rsidRPr="00806ED5">
        <w:rPr>
          <w:rFonts w:ascii="Times New Roman" w:hAnsi="Times New Roman"/>
          <w:i/>
          <w:sz w:val="24"/>
          <w:szCs w:val="24"/>
        </w:rPr>
        <w:t>Операционная прибыль ненефтегазового сектора</w:t>
      </w:r>
      <w:r w:rsidRPr="00FE7054">
        <w:rPr>
          <w:rFonts w:ascii="Times New Roman" w:hAnsi="Times New Roman"/>
          <w:sz w:val="24"/>
          <w:szCs w:val="24"/>
        </w:rPr>
        <w:t xml:space="preserve"> </w:t>
      </w:r>
      <w:r>
        <w:rPr>
          <w:rFonts w:ascii="Times New Roman" w:hAnsi="Times New Roman"/>
          <w:sz w:val="24"/>
          <w:szCs w:val="24"/>
        </w:rPr>
        <w:t xml:space="preserve">за последние 3 года </w:t>
      </w:r>
      <w:r w:rsidRPr="00FE7054">
        <w:rPr>
          <w:rFonts w:ascii="Times New Roman" w:hAnsi="Times New Roman"/>
          <w:sz w:val="24"/>
          <w:szCs w:val="24"/>
        </w:rPr>
        <w:t xml:space="preserve">увеличилась </w:t>
      </w:r>
      <w:r w:rsidRPr="00FE7054">
        <w:rPr>
          <w:rFonts w:ascii="Times New Roman" w:hAnsi="Times New Roman"/>
          <w:sz w:val="24"/>
          <w:szCs w:val="24"/>
        </w:rPr>
        <w:lastRenderedPageBreak/>
        <w:t>боле</w:t>
      </w:r>
      <w:r>
        <w:rPr>
          <w:rFonts w:ascii="Times New Roman" w:hAnsi="Times New Roman"/>
          <w:sz w:val="24"/>
          <w:szCs w:val="24"/>
        </w:rPr>
        <w:t>е чем на 2,5 п.п. ВВП в год (до 8,8</w:t>
      </w:r>
      <w:r w:rsidRPr="00FE7054">
        <w:rPr>
          <w:rFonts w:ascii="Times New Roman" w:hAnsi="Times New Roman"/>
          <w:sz w:val="24"/>
          <w:szCs w:val="24"/>
        </w:rPr>
        <w:t>% ВВП), а рентабельность ненефтегазовой промышленности и сельского хозяйства выросла более чем на 3 п.п. (</w:t>
      </w:r>
      <w:r>
        <w:rPr>
          <w:rFonts w:ascii="Times New Roman" w:hAnsi="Times New Roman"/>
          <w:sz w:val="24"/>
          <w:szCs w:val="24"/>
        </w:rPr>
        <w:t xml:space="preserve">до </w:t>
      </w:r>
      <w:r w:rsidRPr="00FE7054">
        <w:rPr>
          <w:rFonts w:ascii="Times New Roman" w:hAnsi="Times New Roman"/>
          <w:sz w:val="24"/>
          <w:szCs w:val="24"/>
        </w:rPr>
        <w:t>13</w:t>
      </w:r>
      <w:r>
        <w:rPr>
          <w:rFonts w:ascii="Times New Roman" w:hAnsi="Times New Roman"/>
          <w:sz w:val="24"/>
          <w:szCs w:val="24"/>
        </w:rPr>
        <w:t>,2</w:t>
      </w:r>
      <w:r w:rsidRPr="00FE7054">
        <w:rPr>
          <w:rFonts w:ascii="Times New Roman" w:hAnsi="Times New Roman"/>
          <w:sz w:val="24"/>
          <w:szCs w:val="24"/>
        </w:rPr>
        <w:t>%)</w:t>
      </w:r>
      <w:r>
        <w:rPr>
          <w:rFonts w:ascii="Times New Roman" w:hAnsi="Times New Roman"/>
          <w:sz w:val="24"/>
          <w:szCs w:val="24"/>
        </w:rPr>
        <w:t xml:space="preserve">. </w:t>
      </w:r>
    </w:p>
    <w:p w:rsidR="003B61C6" w:rsidRPr="00EA37B5" w:rsidRDefault="003B61C6" w:rsidP="006A22F2">
      <w:pPr>
        <w:pStyle w:val="aa"/>
        <w:numPr>
          <w:ilvl w:val="0"/>
          <w:numId w:val="9"/>
        </w:numPr>
        <w:spacing w:before="120" w:after="120"/>
        <w:contextualSpacing w:val="0"/>
        <w:jc w:val="both"/>
        <w:rPr>
          <w:rFonts w:ascii="Times New Roman" w:hAnsi="Times New Roman"/>
          <w:sz w:val="24"/>
          <w:szCs w:val="24"/>
        </w:rPr>
      </w:pPr>
      <w:r>
        <w:rPr>
          <w:rFonts w:ascii="Times New Roman" w:hAnsi="Times New Roman"/>
          <w:b/>
          <w:sz w:val="24"/>
          <w:szCs w:val="24"/>
        </w:rPr>
        <w:t>У</w:t>
      </w:r>
      <w:r w:rsidRPr="00EA37B5">
        <w:rPr>
          <w:rFonts w:ascii="Times New Roman" w:hAnsi="Times New Roman"/>
          <w:b/>
          <w:sz w:val="24"/>
          <w:szCs w:val="24"/>
        </w:rPr>
        <w:t>стойчив</w:t>
      </w:r>
      <w:r>
        <w:rPr>
          <w:rFonts w:ascii="Times New Roman" w:hAnsi="Times New Roman"/>
          <w:b/>
          <w:sz w:val="24"/>
          <w:szCs w:val="24"/>
        </w:rPr>
        <w:t>ая</w:t>
      </w:r>
      <w:r w:rsidRPr="00EA37B5">
        <w:rPr>
          <w:rFonts w:ascii="Times New Roman" w:hAnsi="Times New Roman"/>
          <w:b/>
          <w:sz w:val="24"/>
          <w:szCs w:val="24"/>
        </w:rPr>
        <w:t xml:space="preserve"> структур</w:t>
      </w:r>
      <w:r>
        <w:rPr>
          <w:rFonts w:ascii="Times New Roman" w:hAnsi="Times New Roman"/>
          <w:b/>
          <w:sz w:val="24"/>
          <w:szCs w:val="24"/>
        </w:rPr>
        <w:t>а источников капитала</w:t>
      </w:r>
      <w:r w:rsidRPr="00EA37B5">
        <w:rPr>
          <w:rFonts w:ascii="Times New Roman" w:hAnsi="Times New Roman"/>
          <w:sz w:val="24"/>
          <w:szCs w:val="24"/>
        </w:rPr>
        <w:t xml:space="preserve">. Кардинально </w:t>
      </w:r>
      <w:r w:rsidRPr="00EA37B5">
        <w:rPr>
          <w:rFonts w:ascii="Times New Roman" w:hAnsi="Times New Roman"/>
          <w:i/>
          <w:sz w:val="24"/>
          <w:szCs w:val="24"/>
        </w:rPr>
        <w:t>сократилась зависимость от ненадежных источников внешнего долгового капитала</w:t>
      </w:r>
      <w:r w:rsidRPr="00EA37B5">
        <w:rPr>
          <w:rFonts w:ascii="Times New Roman" w:hAnsi="Times New Roman"/>
          <w:sz w:val="24"/>
          <w:szCs w:val="24"/>
        </w:rPr>
        <w:t xml:space="preserve">: внешний долг корпоративного сектора сокращается на 1% ВВП в год, а 4-6 лет назад экономика полагалась на его ежегодное привлечение в объеме 2-3% ВВП в год. В то же время </w:t>
      </w:r>
      <w:r>
        <w:rPr>
          <w:rFonts w:ascii="Times New Roman" w:hAnsi="Times New Roman"/>
          <w:sz w:val="24"/>
          <w:szCs w:val="24"/>
        </w:rPr>
        <w:t>из экономики п</w:t>
      </w:r>
      <w:r w:rsidRPr="00EA37B5">
        <w:rPr>
          <w:rFonts w:ascii="Times New Roman" w:hAnsi="Times New Roman"/>
          <w:sz w:val="24"/>
          <w:szCs w:val="24"/>
        </w:rPr>
        <w:t xml:space="preserve">рактически </w:t>
      </w:r>
      <w:r w:rsidRPr="00EA37B5">
        <w:rPr>
          <w:rFonts w:ascii="Times New Roman" w:hAnsi="Times New Roman"/>
          <w:i/>
          <w:sz w:val="24"/>
          <w:szCs w:val="24"/>
        </w:rPr>
        <w:t>перестал утекать капитал через «серые» схемы</w:t>
      </w:r>
      <w:r>
        <w:rPr>
          <w:rFonts w:ascii="Times New Roman" w:hAnsi="Times New Roman"/>
          <w:sz w:val="24"/>
          <w:szCs w:val="24"/>
        </w:rPr>
        <w:t xml:space="preserve">, а </w:t>
      </w:r>
      <w:r w:rsidRPr="00EA37B5">
        <w:rPr>
          <w:rFonts w:ascii="Times New Roman" w:hAnsi="Times New Roman"/>
          <w:sz w:val="24"/>
          <w:szCs w:val="24"/>
        </w:rPr>
        <w:t>4-6 лет назад экономика ежегодно теряла</w:t>
      </w:r>
      <w:r>
        <w:rPr>
          <w:rFonts w:ascii="Times New Roman" w:hAnsi="Times New Roman"/>
          <w:sz w:val="24"/>
          <w:szCs w:val="24"/>
        </w:rPr>
        <w:t xml:space="preserve"> по этому каналу</w:t>
      </w:r>
      <w:r w:rsidRPr="00EA37B5">
        <w:rPr>
          <w:rFonts w:ascii="Times New Roman" w:hAnsi="Times New Roman"/>
          <w:sz w:val="24"/>
          <w:szCs w:val="24"/>
        </w:rPr>
        <w:t xml:space="preserve"> до 2% ВВП в год</w:t>
      </w:r>
      <w:r>
        <w:rPr>
          <w:rFonts w:ascii="Times New Roman" w:hAnsi="Times New Roman"/>
          <w:sz w:val="24"/>
          <w:szCs w:val="24"/>
        </w:rPr>
        <w:t>.</w:t>
      </w:r>
    </w:p>
    <w:p w:rsidR="003B61C6" w:rsidRDefault="003B61C6" w:rsidP="006A22F2">
      <w:pPr>
        <w:pStyle w:val="aa"/>
        <w:numPr>
          <w:ilvl w:val="0"/>
          <w:numId w:val="9"/>
        </w:numPr>
        <w:spacing w:before="120" w:after="120"/>
        <w:contextualSpacing w:val="0"/>
        <w:jc w:val="both"/>
        <w:rPr>
          <w:rFonts w:ascii="Times New Roman" w:hAnsi="Times New Roman"/>
          <w:sz w:val="24"/>
          <w:szCs w:val="24"/>
        </w:rPr>
      </w:pPr>
      <w:r w:rsidRPr="00173474">
        <w:rPr>
          <w:rFonts w:ascii="Times New Roman" w:hAnsi="Times New Roman"/>
          <w:b/>
          <w:sz w:val="24"/>
          <w:szCs w:val="24"/>
        </w:rPr>
        <w:t>Оздоровление финансовой системы</w:t>
      </w:r>
      <w:r>
        <w:rPr>
          <w:rFonts w:ascii="Times New Roman" w:hAnsi="Times New Roman"/>
          <w:sz w:val="24"/>
          <w:szCs w:val="24"/>
        </w:rPr>
        <w:t xml:space="preserve">. В последние годы произошло существенное </w:t>
      </w:r>
      <w:r w:rsidRPr="00173474">
        <w:rPr>
          <w:rFonts w:ascii="Times New Roman" w:hAnsi="Times New Roman"/>
          <w:i/>
          <w:sz w:val="24"/>
          <w:szCs w:val="24"/>
        </w:rPr>
        <w:t>снижение долговой нагрузки нефинансового сектора</w:t>
      </w:r>
      <w:r>
        <w:rPr>
          <w:rFonts w:ascii="Times New Roman" w:hAnsi="Times New Roman"/>
          <w:sz w:val="24"/>
          <w:szCs w:val="24"/>
        </w:rPr>
        <w:t xml:space="preserve"> и </w:t>
      </w:r>
      <w:r w:rsidRPr="00173474">
        <w:rPr>
          <w:rFonts w:ascii="Times New Roman" w:hAnsi="Times New Roman"/>
          <w:i/>
          <w:sz w:val="24"/>
          <w:szCs w:val="24"/>
        </w:rPr>
        <w:t>оздоровление структуры финансового сегмента</w:t>
      </w:r>
      <w:r>
        <w:rPr>
          <w:rFonts w:ascii="Times New Roman" w:hAnsi="Times New Roman"/>
          <w:sz w:val="24"/>
          <w:szCs w:val="24"/>
        </w:rPr>
        <w:t xml:space="preserve">, свидетельствуя о </w:t>
      </w:r>
      <w:r w:rsidRPr="005609BB">
        <w:rPr>
          <w:rFonts w:ascii="Times New Roman" w:hAnsi="Times New Roman"/>
          <w:sz w:val="24"/>
          <w:szCs w:val="24"/>
        </w:rPr>
        <w:t>лучшей готовн</w:t>
      </w:r>
      <w:r>
        <w:rPr>
          <w:rFonts w:ascii="Times New Roman" w:hAnsi="Times New Roman"/>
          <w:sz w:val="24"/>
          <w:szCs w:val="24"/>
        </w:rPr>
        <w:t>ости экономики</w:t>
      </w:r>
      <w:r w:rsidRPr="005609BB">
        <w:rPr>
          <w:rFonts w:ascii="Times New Roman" w:hAnsi="Times New Roman"/>
          <w:sz w:val="24"/>
          <w:szCs w:val="24"/>
        </w:rPr>
        <w:t xml:space="preserve"> к трансформации сбережений в здоровые (эффективные) инвестиции</w:t>
      </w:r>
      <w:r>
        <w:rPr>
          <w:rFonts w:ascii="Times New Roman" w:hAnsi="Times New Roman"/>
          <w:sz w:val="24"/>
          <w:szCs w:val="24"/>
        </w:rPr>
        <w:t>. Раньше д</w:t>
      </w:r>
      <w:r w:rsidRPr="00FE7054">
        <w:rPr>
          <w:rFonts w:ascii="Times New Roman" w:hAnsi="Times New Roman"/>
          <w:sz w:val="24"/>
          <w:szCs w:val="24"/>
        </w:rPr>
        <w:t>аже умеренные темпы роста экономики (2013 год – 1,8%; 2014 год – 0,7%) были во многом обеспечены быстрым и нездоровым ростом кредита (обнажившиеся проблемы с качеством активов банков тому свидетельство) – сейчас качественный (хоть и небыстрый) рост кредита генерирует б</w:t>
      </w:r>
      <w:r w:rsidRPr="00E40CD4">
        <w:rPr>
          <w:rFonts w:ascii="Times New Roman" w:hAnsi="Times New Roman"/>
          <w:i/>
          <w:sz w:val="24"/>
          <w:szCs w:val="24"/>
        </w:rPr>
        <w:t>о</w:t>
      </w:r>
      <w:r w:rsidRPr="00FE7054">
        <w:rPr>
          <w:rFonts w:ascii="Times New Roman" w:hAnsi="Times New Roman"/>
          <w:sz w:val="24"/>
          <w:szCs w:val="24"/>
        </w:rPr>
        <w:t>льший вклад в развитие экономики</w:t>
      </w:r>
      <w:r>
        <w:rPr>
          <w:rFonts w:ascii="Times New Roman" w:hAnsi="Times New Roman"/>
          <w:sz w:val="24"/>
          <w:szCs w:val="24"/>
        </w:rPr>
        <w:t>.</w:t>
      </w:r>
    </w:p>
    <w:p w:rsidR="000470E5" w:rsidRDefault="000470E5" w:rsidP="00711F0F">
      <w:pPr>
        <w:spacing w:before="60" w:after="60" w:line="259" w:lineRule="auto"/>
        <w:jc w:val="both"/>
        <w:rPr>
          <w:rFonts w:ascii="Times New Roman" w:hAnsi="Times New Roman"/>
          <w:sz w:val="24"/>
          <w:szCs w:val="24"/>
        </w:rPr>
      </w:pPr>
      <w:r w:rsidRPr="000470E5">
        <w:rPr>
          <w:rFonts w:ascii="Times New Roman" w:hAnsi="Times New Roman"/>
          <w:sz w:val="24"/>
          <w:szCs w:val="24"/>
        </w:rPr>
        <w:t>Это</w:t>
      </w:r>
      <w:r>
        <w:rPr>
          <w:rFonts w:ascii="Times New Roman" w:hAnsi="Times New Roman"/>
          <w:sz w:val="24"/>
          <w:szCs w:val="24"/>
        </w:rPr>
        <w:t xml:space="preserve"> создает</w:t>
      </w:r>
      <w:r w:rsidRPr="000470E5">
        <w:rPr>
          <w:rFonts w:ascii="Times New Roman" w:hAnsi="Times New Roman"/>
          <w:sz w:val="24"/>
          <w:szCs w:val="24"/>
        </w:rPr>
        <w:t xml:space="preserve"> прочный фундамент, на котором, должен стоять каркас современной, эффективной, конкурентоспособной экономики. Для укрепления этого каркаса </w:t>
      </w:r>
      <w:r>
        <w:rPr>
          <w:rFonts w:ascii="Times New Roman" w:hAnsi="Times New Roman"/>
          <w:sz w:val="24"/>
          <w:szCs w:val="24"/>
        </w:rPr>
        <w:t xml:space="preserve">необходимо </w:t>
      </w:r>
      <w:r w:rsidRPr="000470E5">
        <w:rPr>
          <w:rFonts w:ascii="Times New Roman" w:hAnsi="Times New Roman"/>
          <w:sz w:val="24"/>
          <w:szCs w:val="24"/>
        </w:rPr>
        <w:t>преодолеть структурные ограничения, связанные среди прочего с искажениями конкурентного ландшафта и стимулов к инвестициям, демографическими тенденциями и качеством институтов развития человеческого капитала, доступом к современной инфраструктуре</w:t>
      </w:r>
      <w:r>
        <w:rPr>
          <w:rFonts w:ascii="Times New Roman" w:hAnsi="Times New Roman"/>
          <w:sz w:val="24"/>
          <w:szCs w:val="24"/>
        </w:rPr>
        <w:t>.</w:t>
      </w:r>
    </w:p>
    <w:p w:rsidR="004E2069" w:rsidRPr="0087129E" w:rsidRDefault="004E2069" w:rsidP="00145AC9">
      <w:pPr>
        <w:pStyle w:val="20"/>
        <w:numPr>
          <w:ilvl w:val="1"/>
          <w:numId w:val="3"/>
        </w:numPr>
        <w:spacing w:before="240" w:after="240"/>
        <w:rPr>
          <w:rFonts w:ascii="Times New Roman" w:hAnsi="Times New Roman"/>
          <w:sz w:val="28"/>
          <w:szCs w:val="28"/>
        </w:rPr>
      </w:pPr>
      <w:bookmarkStart w:id="18" w:name="_Toc518648652"/>
      <w:r w:rsidRPr="0087129E">
        <w:rPr>
          <w:rFonts w:ascii="Times New Roman" w:hAnsi="Times New Roman"/>
          <w:sz w:val="28"/>
          <w:szCs w:val="28"/>
        </w:rPr>
        <w:t>ОСНОВНЫЕ ПАРАМЕТРЫ ПРОГНОЗА</w:t>
      </w:r>
      <w:r w:rsidR="00145AC9">
        <w:rPr>
          <w:rFonts w:ascii="Times New Roman" w:hAnsi="Times New Roman"/>
          <w:sz w:val="28"/>
          <w:szCs w:val="28"/>
        </w:rPr>
        <w:t xml:space="preserve"> </w:t>
      </w:r>
      <w:r w:rsidR="0007579B">
        <w:rPr>
          <w:rFonts w:ascii="Times New Roman" w:hAnsi="Times New Roman"/>
          <w:sz w:val="28"/>
          <w:szCs w:val="28"/>
        </w:rPr>
        <w:br/>
      </w:r>
      <w:r w:rsidR="00145AC9">
        <w:rPr>
          <w:rFonts w:ascii="Times New Roman" w:hAnsi="Times New Roman"/>
          <w:sz w:val="28"/>
          <w:szCs w:val="28"/>
        </w:rPr>
        <w:t>СОЦИАЛЬНО-ЭКОНОМИЧЕСКОГО РАЗВИТИЯ</w:t>
      </w:r>
      <w:bookmarkEnd w:id="18"/>
    </w:p>
    <w:p w:rsidR="000470E5" w:rsidRPr="000470E5" w:rsidRDefault="000470E5" w:rsidP="000470E5">
      <w:pPr>
        <w:spacing w:before="120" w:after="120"/>
        <w:jc w:val="both"/>
        <w:rPr>
          <w:rFonts w:ascii="Times New Roman" w:hAnsi="Times New Roman"/>
          <w:sz w:val="24"/>
          <w:szCs w:val="24"/>
        </w:rPr>
      </w:pPr>
      <w:r w:rsidRPr="000470E5">
        <w:rPr>
          <w:rFonts w:ascii="Times New Roman" w:hAnsi="Times New Roman"/>
          <w:sz w:val="24"/>
          <w:szCs w:val="24"/>
        </w:rPr>
        <w:t>Основные направления бюджетной, налоговой и таможенно-тарифной политики на 2019 год и плановый период 2020 и 2021 годов разработаны на основании базового варианта сценария социально-экономического развития Российской Федерации (далее базовый сценарий).</w:t>
      </w:r>
    </w:p>
    <w:p w:rsidR="000470E5" w:rsidRPr="000470E5" w:rsidRDefault="000470E5" w:rsidP="000470E5">
      <w:pPr>
        <w:spacing w:before="120" w:after="120"/>
        <w:jc w:val="both"/>
        <w:rPr>
          <w:rFonts w:ascii="Times New Roman" w:hAnsi="Times New Roman"/>
          <w:sz w:val="24"/>
          <w:szCs w:val="24"/>
        </w:rPr>
      </w:pPr>
      <w:r w:rsidRPr="000470E5">
        <w:rPr>
          <w:rFonts w:ascii="Times New Roman" w:hAnsi="Times New Roman"/>
          <w:sz w:val="24"/>
          <w:szCs w:val="24"/>
        </w:rPr>
        <w:t>Базовый сценарий отражает уточненные приоритеты социально-экономического развития Российской Федерации, предусмотренные посланием Президента Российской Федерации Федеральному Собранию Российской Федерации от 1 марта 2018 года.</w:t>
      </w:r>
    </w:p>
    <w:p w:rsidR="000470E5" w:rsidRPr="000470E5" w:rsidRDefault="000470E5" w:rsidP="000470E5">
      <w:pPr>
        <w:spacing w:before="120" w:after="120"/>
        <w:jc w:val="both"/>
        <w:rPr>
          <w:rFonts w:ascii="Times New Roman" w:hAnsi="Times New Roman"/>
          <w:sz w:val="24"/>
          <w:szCs w:val="24"/>
        </w:rPr>
      </w:pPr>
      <w:r w:rsidRPr="000470E5">
        <w:rPr>
          <w:rFonts w:ascii="Times New Roman" w:hAnsi="Times New Roman"/>
          <w:sz w:val="24"/>
          <w:szCs w:val="24"/>
        </w:rPr>
        <w:t>Среди основных предпосылок базового сценария относительно внешнеэкономических условий:</w:t>
      </w:r>
    </w:p>
    <w:p w:rsidR="000470E5" w:rsidRPr="000470E5" w:rsidRDefault="000470E5" w:rsidP="006A22F2">
      <w:pPr>
        <w:pStyle w:val="aa"/>
        <w:numPr>
          <w:ilvl w:val="0"/>
          <w:numId w:val="9"/>
        </w:numPr>
        <w:spacing w:before="120" w:after="120"/>
        <w:contextualSpacing w:val="0"/>
        <w:jc w:val="both"/>
        <w:rPr>
          <w:rFonts w:ascii="Times New Roman" w:hAnsi="Times New Roman"/>
          <w:sz w:val="24"/>
          <w:szCs w:val="24"/>
        </w:rPr>
      </w:pPr>
      <w:r w:rsidRPr="000470E5">
        <w:rPr>
          <w:rFonts w:ascii="Times New Roman" w:hAnsi="Times New Roman"/>
          <w:sz w:val="24"/>
          <w:szCs w:val="24"/>
        </w:rPr>
        <w:t xml:space="preserve">сохранение темпов роста мировой экономики вблизи 3,5%, сдерживаемое эскалацией торговых войн; </w:t>
      </w:r>
    </w:p>
    <w:p w:rsidR="000470E5" w:rsidRPr="000470E5" w:rsidRDefault="000470E5" w:rsidP="006A22F2">
      <w:pPr>
        <w:pStyle w:val="aa"/>
        <w:numPr>
          <w:ilvl w:val="0"/>
          <w:numId w:val="9"/>
        </w:numPr>
        <w:spacing w:before="120" w:after="120"/>
        <w:contextualSpacing w:val="0"/>
        <w:jc w:val="both"/>
        <w:rPr>
          <w:rFonts w:ascii="Times New Roman" w:hAnsi="Times New Roman"/>
          <w:sz w:val="24"/>
          <w:szCs w:val="24"/>
        </w:rPr>
      </w:pPr>
      <w:r w:rsidRPr="000470E5">
        <w:rPr>
          <w:rFonts w:ascii="Times New Roman" w:hAnsi="Times New Roman"/>
          <w:sz w:val="24"/>
          <w:szCs w:val="24"/>
        </w:rPr>
        <w:t>отток капитала с развивающихся рынков на фоне ужесточения процентной политики крупнейшими центральными банками;</w:t>
      </w:r>
    </w:p>
    <w:p w:rsidR="000470E5" w:rsidRPr="000470E5" w:rsidRDefault="000470E5" w:rsidP="006A22F2">
      <w:pPr>
        <w:pStyle w:val="aa"/>
        <w:numPr>
          <w:ilvl w:val="0"/>
          <w:numId w:val="9"/>
        </w:numPr>
        <w:spacing w:before="120" w:after="120"/>
        <w:contextualSpacing w:val="0"/>
        <w:jc w:val="both"/>
        <w:rPr>
          <w:rFonts w:ascii="Times New Roman" w:hAnsi="Times New Roman"/>
          <w:sz w:val="24"/>
          <w:szCs w:val="24"/>
        </w:rPr>
      </w:pPr>
      <w:r w:rsidRPr="000470E5">
        <w:rPr>
          <w:rFonts w:ascii="Times New Roman" w:hAnsi="Times New Roman"/>
          <w:sz w:val="24"/>
          <w:szCs w:val="24"/>
        </w:rPr>
        <w:lastRenderedPageBreak/>
        <w:t>сохранение ограничительных мер, принятых иностранными государствами в отношении Российской Федерации, на протя</w:t>
      </w:r>
      <w:r>
        <w:rPr>
          <w:rFonts w:ascii="Times New Roman" w:hAnsi="Times New Roman"/>
          <w:sz w:val="24"/>
          <w:szCs w:val="24"/>
        </w:rPr>
        <w:t>жении всего прогнозного периода.</w:t>
      </w:r>
    </w:p>
    <w:p w:rsidR="000470E5" w:rsidRPr="000470E5" w:rsidRDefault="000470E5" w:rsidP="000470E5">
      <w:pPr>
        <w:spacing w:before="120" w:after="120"/>
        <w:jc w:val="both"/>
        <w:rPr>
          <w:rFonts w:ascii="Times New Roman" w:hAnsi="Times New Roman"/>
          <w:sz w:val="24"/>
          <w:szCs w:val="24"/>
        </w:rPr>
      </w:pPr>
      <w:r w:rsidRPr="000470E5">
        <w:rPr>
          <w:rFonts w:ascii="Times New Roman" w:hAnsi="Times New Roman"/>
          <w:sz w:val="24"/>
          <w:szCs w:val="24"/>
        </w:rPr>
        <w:t xml:space="preserve">В отношении цен на энергоносители предполагается поступательное снижение стоимости нефти марки «Юралс». Быстрый рост мирового спроса на нефть, резкий рост геополитической премии в цене на фоне усиления политических и торговых конфликтов будут поддерживать высокие цены на нефть на протяжении всего 2018 года (согласно базовому варианту прогноза цена на нефть составит 69,3 долл. США за баррель). Однако, начиная с 2019 года, на фоне договоренности ОПЕК+ об увеличении нефтедобычи, ослабления ограничивающих факторов для повышения добычи нефти в США и учитывая «неравновесный» уровень текущих высоких цен, стоимость нефти марки «Юралс» будет постепенно снижаться, опустившись до 57,9 долл. США за баррель к 2021 году. </w:t>
      </w:r>
    </w:p>
    <w:p w:rsidR="000470E5" w:rsidRPr="000470E5" w:rsidRDefault="000470E5" w:rsidP="000470E5">
      <w:pPr>
        <w:spacing w:before="120" w:after="120"/>
        <w:jc w:val="both"/>
        <w:rPr>
          <w:rFonts w:ascii="Times New Roman" w:hAnsi="Times New Roman"/>
          <w:sz w:val="24"/>
          <w:szCs w:val="24"/>
        </w:rPr>
      </w:pPr>
      <w:r w:rsidRPr="000470E5">
        <w:rPr>
          <w:rFonts w:ascii="Times New Roman" w:hAnsi="Times New Roman"/>
          <w:sz w:val="24"/>
          <w:szCs w:val="24"/>
        </w:rPr>
        <w:t>Влияние повышения НДС на инфляцию оценивается в районе 1,3 процентного пункта. Согласно базовому варианту прогноза, частичный эффект от повышения НДС проявится уже в 2018 году, за счет роста инфляционных ожиданий. Однако основной вклад изменения ставки налога в рост цен будет зафиксирован в 2019 году, в результате чего по итогам года инфляция составит 4,3%. С учетом проведения Банком России денежно-кредитной политики, направленной на стабилизацию инфляции и сдерживание роста инфляционных ожиданий, инфляция на конец 2019 г. составит 4,3% г/г, что в целом является незначительным отклонением от целевого ориентира Банка России. По мере выхода из базы расчета вклада от повышения НДС инфляция, вероятно, опустится ниже 4% и впоследствии стабилизируется на целевом уровне.</w:t>
      </w:r>
    </w:p>
    <w:p w:rsidR="000470E5" w:rsidRPr="000470E5" w:rsidRDefault="000470E5" w:rsidP="000470E5">
      <w:pPr>
        <w:spacing w:before="120" w:after="120"/>
        <w:jc w:val="both"/>
        <w:rPr>
          <w:rFonts w:ascii="Times New Roman" w:hAnsi="Times New Roman"/>
          <w:sz w:val="24"/>
          <w:szCs w:val="24"/>
        </w:rPr>
      </w:pPr>
      <w:r w:rsidRPr="000470E5">
        <w:rPr>
          <w:rFonts w:ascii="Times New Roman" w:hAnsi="Times New Roman"/>
          <w:sz w:val="24"/>
          <w:szCs w:val="24"/>
        </w:rPr>
        <w:t xml:space="preserve">По итогам 2019 года темп роста ВВП прогнозируется на уровне 1,4%. Замедление темпов экономического роста будет связано как с умеренным замедлением инвестиционной активности, так и снижением темпов роста потребительского спроса. Ожидается замедление реальных темпов роста заработных плат в первую очередь из-за формирования высокой базы сравнения в 2018 году (в результате доведения до целевого уровня оплаты труда работников социальной сферы, а также доведения размера МРОТ до прожиточного минимума). Кроме того, в 2019 г. индексация прочим категориям работников бюджетной сферы будет проведена с 1 октября (а не с 1 января, как в текущем году). Отсутствие значимого давления на заработные платы со стороны бюджетного сектора обусловит сближение темпов роста реальных заработных плат в частном секторе с темпом роста производительности труда. С другой стороны, на реальных темпах роста заработной платы, так же как и на их покупательной способности, негативно скажется ускорение инфляции. В результате темп роста реальных заработных плат снизится с ожидаемых 6,3 % в текущем году до менее 1,0% в 2019 году, а реальный темп роста расходов на конечное потребление с 3,5 % г/г в текущем году до 2,6 % г/г в 2019 году (влияние замедления динамики заработных плат на потребительские расходы будет частично компенсироваться снижением нормы сбережения). </w:t>
      </w:r>
    </w:p>
    <w:p w:rsidR="000470E5" w:rsidRDefault="000470E5" w:rsidP="000470E5">
      <w:pPr>
        <w:spacing w:before="120" w:after="120"/>
        <w:jc w:val="both"/>
        <w:rPr>
          <w:rFonts w:ascii="Times New Roman" w:hAnsi="Times New Roman"/>
          <w:sz w:val="24"/>
          <w:szCs w:val="24"/>
        </w:rPr>
      </w:pPr>
      <w:r w:rsidRPr="000470E5">
        <w:rPr>
          <w:rFonts w:ascii="Times New Roman" w:hAnsi="Times New Roman"/>
          <w:sz w:val="24"/>
          <w:szCs w:val="24"/>
        </w:rPr>
        <w:t xml:space="preserve">Однако уже в 2020 году экономика адаптируется к новым условиям. Выходу российской экономики на траекторию более высоких темпов роста будет </w:t>
      </w:r>
      <w:r w:rsidRPr="000470E5">
        <w:rPr>
          <w:rFonts w:ascii="Times New Roman" w:hAnsi="Times New Roman"/>
          <w:sz w:val="24"/>
          <w:szCs w:val="24"/>
        </w:rPr>
        <w:lastRenderedPageBreak/>
        <w:t>способствовать как перераспределение расходов федерального бюджета в пользу инвестиционных и реализация проектов инфраструктурного строительства с привлечением средств частных инвесторов, так и создание условий для роста инвестиционной активности частного сектора. Второе будет достигаться с помощью обеспечения стабильных и необременительных условий для бизнеса (что предполагает стабильные налоговые условия, предсказуемое тарифное регулирование, снижение уголовно-процессуальных рисков предпринимательской деятельности), а также развитие конкуренции и снижение доли государства в экономике. Кроме того, комплекс мер макроэкономической политики будет включать мероприятия, направленные на создание источников долгосрочных сбережений в экономике (добровольная накопительная пенсионная система, расширение линейки инструментов сбережения населения), а также внедрения элементов стимулирующего банковского регулирования.</w:t>
      </w:r>
    </w:p>
    <w:p w:rsidR="004E2069" w:rsidRPr="0087129E" w:rsidRDefault="004E2069" w:rsidP="0015016A">
      <w:pPr>
        <w:spacing w:before="120" w:after="120"/>
        <w:jc w:val="both"/>
        <w:rPr>
          <w:rFonts w:ascii="Times New Roman" w:hAnsi="Times New Roman"/>
          <w:b/>
          <w:sz w:val="24"/>
          <w:szCs w:val="24"/>
        </w:rPr>
      </w:pPr>
      <w:r w:rsidRPr="0007579B">
        <w:rPr>
          <w:rFonts w:ascii="Times New Roman" w:hAnsi="Times New Roman"/>
          <w:b/>
          <w:sz w:val="24"/>
          <w:szCs w:val="24"/>
        </w:rPr>
        <w:t xml:space="preserve">Таблица </w:t>
      </w:r>
      <w:r w:rsidR="0007579B" w:rsidRPr="0007579B">
        <w:rPr>
          <w:rFonts w:ascii="Times New Roman" w:hAnsi="Times New Roman"/>
          <w:b/>
          <w:sz w:val="24"/>
          <w:szCs w:val="24"/>
        </w:rPr>
        <w:t>2</w:t>
      </w:r>
      <w:r w:rsidRPr="0007579B">
        <w:rPr>
          <w:rFonts w:ascii="Times New Roman" w:hAnsi="Times New Roman"/>
          <w:b/>
          <w:sz w:val="24"/>
          <w:szCs w:val="24"/>
        </w:rPr>
        <w:t>.3.1. Основные</w:t>
      </w:r>
      <w:r w:rsidRPr="0087129E">
        <w:rPr>
          <w:rFonts w:ascii="Times New Roman" w:hAnsi="Times New Roman"/>
          <w:b/>
          <w:sz w:val="24"/>
          <w:szCs w:val="24"/>
        </w:rPr>
        <w:t xml:space="preserve"> параметры </w:t>
      </w:r>
      <w:r>
        <w:rPr>
          <w:rFonts w:ascii="Times New Roman" w:hAnsi="Times New Roman"/>
          <w:b/>
          <w:sz w:val="24"/>
          <w:szCs w:val="24"/>
        </w:rPr>
        <w:t xml:space="preserve">базового </w:t>
      </w:r>
      <w:r w:rsidRPr="0087129E">
        <w:rPr>
          <w:rFonts w:ascii="Times New Roman" w:hAnsi="Times New Roman"/>
          <w:b/>
          <w:sz w:val="24"/>
          <w:szCs w:val="24"/>
        </w:rPr>
        <w:t>прогноза социально-экономического развития России</w:t>
      </w:r>
    </w:p>
    <w:tbl>
      <w:tblPr>
        <w:tblW w:w="9214" w:type="dxa"/>
        <w:tblInd w:w="108" w:type="dxa"/>
        <w:tblLayout w:type="fixed"/>
        <w:tblLook w:val="00A0" w:firstRow="1" w:lastRow="0" w:firstColumn="1" w:lastColumn="0" w:noHBand="0" w:noVBand="0"/>
      </w:tblPr>
      <w:tblGrid>
        <w:gridCol w:w="5954"/>
        <w:gridCol w:w="1086"/>
        <w:gridCol w:w="1087"/>
        <w:gridCol w:w="1087"/>
      </w:tblGrid>
      <w:tr w:rsidR="003A7132" w:rsidRPr="003A7132" w:rsidTr="00843D61">
        <w:trPr>
          <w:trHeight w:val="454"/>
        </w:trPr>
        <w:tc>
          <w:tcPr>
            <w:tcW w:w="5954" w:type="dxa"/>
            <w:tcBorders>
              <w:bottom w:val="single" w:sz="4" w:space="0" w:color="auto"/>
            </w:tcBorders>
          </w:tcPr>
          <w:p w:rsidR="003A7132" w:rsidRPr="003A7132" w:rsidRDefault="003A7132" w:rsidP="003A7132">
            <w:pPr>
              <w:rPr>
                <w:rFonts w:ascii="Century" w:hAnsi="Century"/>
                <w:b/>
              </w:rPr>
            </w:pPr>
            <w:r w:rsidRPr="003A7132">
              <w:rPr>
                <w:rFonts w:ascii="Century" w:hAnsi="Century"/>
                <w:b/>
              </w:rPr>
              <w:t>Показатель</w:t>
            </w:r>
          </w:p>
        </w:tc>
        <w:tc>
          <w:tcPr>
            <w:tcW w:w="1086" w:type="dxa"/>
            <w:tcBorders>
              <w:bottom w:val="single" w:sz="4" w:space="0" w:color="auto"/>
            </w:tcBorders>
          </w:tcPr>
          <w:p w:rsidR="003A7132" w:rsidRPr="003A7132" w:rsidRDefault="003A7132" w:rsidP="003A7132">
            <w:pPr>
              <w:rPr>
                <w:rFonts w:ascii="Century" w:hAnsi="Century"/>
                <w:b/>
              </w:rPr>
            </w:pPr>
            <w:r w:rsidRPr="003A7132">
              <w:rPr>
                <w:rFonts w:ascii="Century" w:hAnsi="Century"/>
                <w:b/>
              </w:rPr>
              <w:t>2019</w:t>
            </w:r>
          </w:p>
        </w:tc>
        <w:tc>
          <w:tcPr>
            <w:tcW w:w="1087" w:type="dxa"/>
            <w:tcBorders>
              <w:bottom w:val="single" w:sz="4" w:space="0" w:color="auto"/>
            </w:tcBorders>
          </w:tcPr>
          <w:p w:rsidR="003A7132" w:rsidRPr="003A7132" w:rsidRDefault="003A7132" w:rsidP="003A7132">
            <w:pPr>
              <w:rPr>
                <w:rFonts w:ascii="Century" w:hAnsi="Century"/>
                <w:b/>
              </w:rPr>
            </w:pPr>
            <w:r w:rsidRPr="003A7132">
              <w:rPr>
                <w:rFonts w:ascii="Century" w:hAnsi="Century"/>
                <w:b/>
              </w:rPr>
              <w:t>2020</w:t>
            </w:r>
          </w:p>
        </w:tc>
        <w:tc>
          <w:tcPr>
            <w:tcW w:w="1087" w:type="dxa"/>
            <w:tcBorders>
              <w:bottom w:val="single" w:sz="4" w:space="0" w:color="auto"/>
            </w:tcBorders>
          </w:tcPr>
          <w:p w:rsidR="003A7132" w:rsidRPr="003A7132" w:rsidRDefault="003A7132" w:rsidP="003A7132">
            <w:pPr>
              <w:rPr>
                <w:rFonts w:ascii="Century" w:hAnsi="Century"/>
                <w:b/>
              </w:rPr>
            </w:pPr>
            <w:r w:rsidRPr="003A7132">
              <w:rPr>
                <w:rFonts w:ascii="Century" w:hAnsi="Century"/>
                <w:b/>
              </w:rPr>
              <w:t>2021</w:t>
            </w:r>
          </w:p>
        </w:tc>
      </w:tr>
      <w:tr w:rsidR="003A7132" w:rsidRPr="003A7132" w:rsidTr="00843D61">
        <w:trPr>
          <w:trHeight w:val="454"/>
        </w:trPr>
        <w:tc>
          <w:tcPr>
            <w:tcW w:w="5954" w:type="dxa"/>
            <w:tcBorders>
              <w:top w:val="single" w:sz="4" w:space="0" w:color="auto"/>
            </w:tcBorders>
            <w:shd w:val="clear" w:color="auto" w:fill="F2F2F2" w:themeFill="background1" w:themeFillShade="F2"/>
            <w:vAlign w:val="center"/>
          </w:tcPr>
          <w:p w:rsidR="003A7132" w:rsidRPr="003A7132" w:rsidRDefault="003A7132" w:rsidP="00843D61">
            <w:pPr>
              <w:rPr>
                <w:rFonts w:ascii="Century" w:hAnsi="Century"/>
                <w:b/>
              </w:rPr>
            </w:pPr>
            <w:r w:rsidRPr="003A7132">
              <w:rPr>
                <w:rFonts w:ascii="Century" w:hAnsi="Century"/>
              </w:rPr>
              <w:t>Цена на нефть марки «Юралс», долл. США за баррель</w:t>
            </w:r>
          </w:p>
        </w:tc>
        <w:tc>
          <w:tcPr>
            <w:tcW w:w="1086" w:type="dxa"/>
            <w:tcBorders>
              <w:top w:val="single" w:sz="4" w:space="0" w:color="auto"/>
            </w:tcBorders>
            <w:shd w:val="clear" w:color="auto" w:fill="F2F2F2" w:themeFill="background1" w:themeFillShade="F2"/>
            <w:vAlign w:val="center"/>
          </w:tcPr>
          <w:p w:rsidR="003A7132" w:rsidRPr="003A7132" w:rsidRDefault="003A7132" w:rsidP="00843D61">
            <w:pPr>
              <w:jc w:val="right"/>
              <w:rPr>
                <w:rFonts w:ascii="Century" w:hAnsi="Century"/>
              </w:rPr>
            </w:pPr>
            <w:r w:rsidRPr="003A7132">
              <w:rPr>
                <w:rFonts w:ascii="Century" w:hAnsi="Century"/>
              </w:rPr>
              <w:t>63,4</w:t>
            </w:r>
          </w:p>
        </w:tc>
        <w:tc>
          <w:tcPr>
            <w:tcW w:w="1087" w:type="dxa"/>
            <w:tcBorders>
              <w:top w:val="single" w:sz="4" w:space="0" w:color="auto"/>
            </w:tcBorders>
            <w:shd w:val="clear" w:color="auto" w:fill="F2F2F2" w:themeFill="background1" w:themeFillShade="F2"/>
            <w:vAlign w:val="center"/>
          </w:tcPr>
          <w:p w:rsidR="003A7132" w:rsidRPr="003A7132" w:rsidRDefault="003A7132" w:rsidP="00843D61">
            <w:pPr>
              <w:jc w:val="right"/>
              <w:rPr>
                <w:rFonts w:ascii="Century" w:hAnsi="Century"/>
              </w:rPr>
            </w:pPr>
            <w:r w:rsidRPr="003A7132">
              <w:rPr>
                <w:rFonts w:ascii="Century" w:hAnsi="Century"/>
              </w:rPr>
              <w:t>59,7</w:t>
            </w:r>
          </w:p>
        </w:tc>
        <w:tc>
          <w:tcPr>
            <w:tcW w:w="1087" w:type="dxa"/>
            <w:tcBorders>
              <w:top w:val="single" w:sz="4" w:space="0" w:color="auto"/>
            </w:tcBorders>
            <w:shd w:val="clear" w:color="auto" w:fill="F2F2F2" w:themeFill="background1" w:themeFillShade="F2"/>
            <w:vAlign w:val="center"/>
          </w:tcPr>
          <w:p w:rsidR="003A7132" w:rsidRPr="003A7132" w:rsidRDefault="003A7132" w:rsidP="00843D61">
            <w:pPr>
              <w:jc w:val="right"/>
              <w:rPr>
                <w:rFonts w:ascii="Century" w:hAnsi="Century"/>
              </w:rPr>
            </w:pPr>
            <w:r w:rsidRPr="003A7132">
              <w:rPr>
                <w:rFonts w:ascii="Century" w:hAnsi="Century"/>
              </w:rPr>
              <w:t>57,9</w:t>
            </w:r>
          </w:p>
        </w:tc>
      </w:tr>
      <w:tr w:rsidR="003A7132" w:rsidRPr="003A7132" w:rsidTr="00843D61">
        <w:trPr>
          <w:trHeight w:val="454"/>
        </w:trPr>
        <w:tc>
          <w:tcPr>
            <w:tcW w:w="5954" w:type="dxa"/>
            <w:shd w:val="clear" w:color="auto" w:fill="FFFFFF" w:themeFill="background1"/>
            <w:vAlign w:val="center"/>
          </w:tcPr>
          <w:p w:rsidR="003A7132" w:rsidRPr="003A7132" w:rsidRDefault="003A7132" w:rsidP="00843D61">
            <w:pPr>
              <w:rPr>
                <w:rFonts w:ascii="Century" w:hAnsi="Century"/>
                <w:b/>
              </w:rPr>
            </w:pPr>
            <w:r w:rsidRPr="003A7132">
              <w:rPr>
                <w:rFonts w:ascii="Century" w:hAnsi="Century"/>
              </w:rPr>
              <w:t>Курс рубля к доллару США среднегодовой,</w:t>
            </w:r>
            <w:r w:rsidRPr="003A7132">
              <w:rPr>
                <w:rFonts w:ascii="Century" w:hAnsi="Century"/>
              </w:rPr>
              <w:br/>
              <w:t>руб. за долл. США</w:t>
            </w:r>
          </w:p>
        </w:tc>
        <w:tc>
          <w:tcPr>
            <w:tcW w:w="1086" w:type="dxa"/>
            <w:shd w:val="clear" w:color="auto" w:fill="FFFFFF" w:themeFill="background1"/>
            <w:vAlign w:val="center"/>
          </w:tcPr>
          <w:p w:rsidR="003A7132" w:rsidRPr="003A7132" w:rsidRDefault="003A7132" w:rsidP="00843D61">
            <w:pPr>
              <w:jc w:val="right"/>
              <w:rPr>
                <w:rFonts w:ascii="Century" w:hAnsi="Century"/>
              </w:rPr>
            </w:pPr>
            <w:r w:rsidRPr="003A7132">
              <w:rPr>
                <w:rFonts w:ascii="Century" w:hAnsi="Century"/>
              </w:rPr>
              <w:t>63,2</w:t>
            </w:r>
          </w:p>
        </w:tc>
        <w:tc>
          <w:tcPr>
            <w:tcW w:w="1087" w:type="dxa"/>
            <w:shd w:val="clear" w:color="auto" w:fill="FFFFFF" w:themeFill="background1"/>
            <w:vAlign w:val="center"/>
          </w:tcPr>
          <w:p w:rsidR="003A7132" w:rsidRPr="003A7132" w:rsidRDefault="003A7132" w:rsidP="00843D61">
            <w:pPr>
              <w:jc w:val="right"/>
              <w:rPr>
                <w:rFonts w:ascii="Century" w:hAnsi="Century"/>
              </w:rPr>
            </w:pPr>
            <w:r w:rsidRPr="003A7132">
              <w:rPr>
                <w:rFonts w:ascii="Century" w:hAnsi="Century"/>
              </w:rPr>
              <w:t>63,8</w:t>
            </w:r>
          </w:p>
        </w:tc>
        <w:tc>
          <w:tcPr>
            <w:tcW w:w="1087" w:type="dxa"/>
            <w:shd w:val="clear" w:color="auto" w:fill="FFFFFF" w:themeFill="background1"/>
            <w:vAlign w:val="center"/>
          </w:tcPr>
          <w:p w:rsidR="003A7132" w:rsidRPr="003A7132" w:rsidRDefault="003A7132" w:rsidP="00843D61">
            <w:pPr>
              <w:jc w:val="right"/>
              <w:rPr>
                <w:rFonts w:ascii="Century" w:hAnsi="Century"/>
              </w:rPr>
            </w:pPr>
            <w:r w:rsidRPr="003A7132">
              <w:rPr>
                <w:rFonts w:ascii="Century" w:hAnsi="Century"/>
              </w:rPr>
              <w:t>64,0</w:t>
            </w:r>
          </w:p>
        </w:tc>
      </w:tr>
      <w:tr w:rsidR="003A7132" w:rsidRPr="003A7132" w:rsidTr="00843D61">
        <w:trPr>
          <w:trHeight w:val="595"/>
        </w:trPr>
        <w:tc>
          <w:tcPr>
            <w:tcW w:w="5954" w:type="dxa"/>
            <w:shd w:val="clear" w:color="auto" w:fill="F2F2F2" w:themeFill="background1" w:themeFillShade="F2"/>
            <w:vAlign w:val="center"/>
          </w:tcPr>
          <w:p w:rsidR="003A7132" w:rsidRPr="003A7132" w:rsidRDefault="003A7132" w:rsidP="00843D61">
            <w:pPr>
              <w:rPr>
                <w:rFonts w:ascii="Century" w:hAnsi="Century"/>
                <w:b/>
              </w:rPr>
            </w:pPr>
            <w:r w:rsidRPr="003A7132">
              <w:rPr>
                <w:rFonts w:ascii="Century" w:hAnsi="Century"/>
              </w:rPr>
              <w:t>Темп роста ВВП (% к предыдущему году)</w:t>
            </w:r>
          </w:p>
        </w:tc>
        <w:tc>
          <w:tcPr>
            <w:tcW w:w="1086" w:type="dxa"/>
            <w:shd w:val="clear" w:color="auto" w:fill="F2F2F2" w:themeFill="background1" w:themeFillShade="F2"/>
            <w:vAlign w:val="center"/>
          </w:tcPr>
          <w:p w:rsidR="003A7132" w:rsidRPr="003A7132" w:rsidRDefault="003A7132" w:rsidP="00843D61">
            <w:pPr>
              <w:jc w:val="right"/>
              <w:rPr>
                <w:rFonts w:ascii="Century" w:hAnsi="Century"/>
              </w:rPr>
            </w:pPr>
            <w:r w:rsidRPr="003A7132">
              <w:rPr>
                <w:rFonts w:ascii="Century" w:hAnsi="Century"/>
              </w:rPr>
              <w:t>1,4</w:t>
            </w:r>
          </w:p>
        </w:tc>
        <w:tc>
          <w:tcPr>
            <w:tcW w:w="1087" w:type="dxa"/>
            <w:shd w:val="clear" w:color="auto" w:fill="F2F2F2" w:themeFill="background1" w:themeFillShade="F2"/>
            <w:vAlign w:val="center"/>
          </w:tcPr>
          <w:p w:rsidR="003A7132" w:rsidRPr="003A7132" w:rsidRDefault="003A7132" w:rsidP="00843D61">
            <w:pPr>
              <w:jc w:val="right"/>
              <w:rPr>
                <w:rFonts w:ascii="Century" w:hAnsi="Century"/>
              </w:rPr>
            </w:pPr>
            <w:r w:rsidRPr="003A7132">
              <w:rPr>
                <w:rFonts w:ascii="Century" w:hAnsi="Century"/>
              </w:rPr>
              <w:t>2,0</w:t>
            </w:r>
          </w:p>
        </w:tc>
        <w:tc>
          <w:tcPr>
            <w:tcW w:w="1087" w:type="dxa"/>
            <w:shd w:val="clear" w:color="auto" w:fill="F2F2F2" w:themeFill="background1" w:themeFillShade="F2"/>
            <w:vAlign w:val="center"/>
          </w:tcPr>
          <w:p w:rsidR="003A7132" w:rsidRPr="003A7132" w:rsidRDefault="003A7132" w:rsidP="00843D61">
            <w:pPr>
              <w:jc w:val="right"/>
              <w:rPr>
                <w:rFonts w:ascii="Century" w:hAnsi="Century"/>
              </w:rPr>
            </w:pPr>
            <w:r w:rsidRPr="003A7132">
              <w:rPr>
                <w:rFonts w:ascii="Century" w:hAnsi="Century"/>
              </w:rPr>
              <w:t>3,1</w:t>
            </w:r>
          </w:p>
        </w:tc>
      </w:tr>
      <w:tr w:rsidR="003A7132" w:rsidRPr="003A7132" w:rsidTr="00843D61">
        <w:trPr>
          <w:trHeight w:val="454"/>
        </w:trPr>
        <w:tc>
          <w:tcPr>
            <w:tcW w:w="5954" w:type="dxa"/>
            <w:shd w:val="clear" w:color="auto" w:fill="FFFFFF" w:themeFill="background1"/>
            <w:vAlign w:val="center"/>
          </w:tcPr>
          <w:p w:rsidR="003A7132" w:rsidRPr="003A7132" w:rsidRDefault="003A7132" w:rsidP="00843D61">
            <w:pPr>
              <w:rPr>
                <w:rFonts w:ascii="Century" w:hAnsi="Century"/>
              </w:rPr>
            </w:pPr>
            <w:r w:rsidRPr="003A7132">
              <w:rPr>
                <w:rFonts w:ascii="Century" w:hAnsi="Century"/>
              </w:rPr>
              <w:t>Индекс потребительских цен (на конец года)</w:t>
            </w:r>
          </w:p>
        </w:tc>
        <w:tc>
          <w:tcPr>
            <w:tcW w:w="1086" w:type="dxa"/>
            <w:shd w:val="clear" w:color="auto" w:fill="FFFFFF" w:themeFill="background1"/>
            <w:vAlign w:val="center"/>
          </w:tcPr>
          <w:p w:rsidR="003A7132" w:rsidRPr="003A7132" w:rsidRDefault="003A7132" w:rsidP="00843D61">
            <w:pPr>
              <w:jc w:val="right"/>
              <w:rPr>
                <w:rFonts w:ascii="Century" w:hAnsi="Century"/>
              </w:rPr>
            </w:pPr>
            <w:r w:rsidRPr="003A7132">
              <w:rPr>
                <w:rFonts w:ascii="Century" w:hAnsi="Century"/>
              </w:rPr>
              <w:t>4,3</w:t>
            </w:r>
          </w:p>
        </w:tc>
        <w:tc>
          <w:tcPr>
            <w:tcW w:w="1087" w:type="dxa"/>
            <w:shd w:val="clear" w:color="auto" w:fill="FFFFFF" w:themeFill="background1"/>
            <w:vAlign w:val="center"/>
          </w:tcPr>
          <w:p w:rsidR="003A7132" w:rsidRPr="003A7132" w:rsidRDefault="003A7132" w:rsidP="00843D61">
            <w:pPr>
              <w:jc w:val="right"/>
              <w:rPr>
                <w:rFonts w:ascii="Century" w:hAnsi="Century"/>
              </w:rPr>
            </w:pPr>
            <w:r w:rsidRPr="003A7132">
              <w:rPr>
                <w:rFonts w:ascii="Century" w:hAnsi="Century"/>
              </w:rPr>
              <w:t>3,8</w:t>
            </w:r>
          </w:p>
        </w:tc>
        <w:tc>
          <w:tcPr>
            <w:tcW w:w="1087" w:type="dxa"/>
            <w:shd w:val="clear" w:color="auto" w:fill="FFFFFF" w:themeFill="background1"/>
            <w:vAlign w:val="center"/>
          </w:tcPr>
          <w:p w:rsidR="003A7132" w:rsidRPr="003A7132" w:rsidRDefault="003A7132" w:rsidP="00843D61">
            <w:pPr>
              <w:jc w:val="right"/>
              <w:rPr>
                <w:rFonts w:ascii="Century" w:hAnsi="Century"/>
              </w:rPr>
            </w:pPr>
            <w:r w:rsidRPr="003A7132">
              <w:rPr>
                <w:rFonts w:ascii="Century" w:hAnsi="Century"/>
              </w:rPr>
              <w:t>4,0</w:t>
            </w:r>
          </w:p>
        </w:tc>
      </w:tr>
      <w:tr w:rsidR="003A7132" w:rsidRPr="003A7132" w:rsidTr="00843D61">
        <w:trPr>
          <w:trHeight w:val="454"/>
        </w:trPr>
        <w:tc>
          <w:tcPr>
            <w:tcW w:w="5954" w:type="dxa"/>
            <w:shd w:val="clear" w:color="auto" w:fill="F2F2F2"/>
            <w:vAlign w:val="center"/>
          </w:tcPr>
          <w:p w:rsidR="003A7132" w:rsidRPr="003A7132" w:rsidRDefault="003A7132" w:rsidP="00843D61">
            <w:pPr>
              <w:rPr>
                <w:rFonts w:ascii="Century" w:hAnsi="Century"/>
                <w:b/>
              </w:rPr>
            </w:pPr>
            <w:r w:rsidRPr="003A7132">
              <w:rPr>
                <w:rFonts w:ascii="Century" w:hAnsi="Century"/>
              </w:rPr>
              <w:t>Реальные располагаемые денежные доходы населения (% к предыдущему году)</w:t>
            </w:r>
          </w:p>
        </w:tc>
        <w:tc>
          <w:tcPr>
            <w:tcW w:w="1086" w:type="dxa"/>
            <w:shd w:val="clear" w:color="auto" w:fill="F2F2F2"/>
            <w:vAlign w:val="center"/>
          </w:tcPr>
          <w:p w:rsidR="003A7132" w:rsidRPr="003A7132" w:rsidRDefault="003A7132" w:rsidP="00843D61">
            <w:pPr>
              <w:jc w:val="right"/>
              <w:rPr>
                <w:rFonts w:ascii="Century" w:hAnsi="Century"/>
              </w:rPr>
            </w:pPr>
            <w:r w:rsidRPr="003A7132">
              <w:rPr>
                <w:rFonts w:ascii="Century" w:hAnsi="Century"/>
              </w:rPr>
              <w:t>0,7</w:t>
            </w:r>
          </w:p>
        </w:tc>
        <w:tc>
          <w:tcPr>
            <w:tcW w:w="1087" w:type="dxa"/>
            <w:shd w:val="clear" w:color="auto" w:fill="F2F2F2"/>
            <w:vAlign w:val="center"/>
          </w:tcPr>
          <w:p w:rsidR="003A7132" w:rsidRPr="003A7132" w:rsidRDefault="003A7132" w:rsidP="00843D61">
            <w:pPr>
              <w:jc w:val="right"/>
              <w:rPr>
                <w:rFonts w:ascii="Century" w:hAnsi="Century"/>
              </w:rPr>
            </w:pPr>
            <w:r w:rsidRPr="003A7132">
              <w:rPr>
                <w:rFonts w:ascii="Century" w:hAnsi="Century"/>
              </w:rPr>
              <w:t>1,4</w:t>
            </w:r>
          </w:p>
        </w:tc>
        <w:tc>
          <w:tcPr>
            <w:tcW w:w="1087" w:type="dxa"/>
            <w:shd w:val="clear" w:color="auto" w:fill="F2F2F2"/>
            <w:vAlign w:val="center"/>
          </w:tcPr>
          <w:p w:rsidR="003A7132" w:rsidRPr="003A7132" w:rsidRDefault="003A7132" w:rsidP="00843D61">
            <w:pPr>
              <w:jc w:val="right"/>
              <w:rPr>
                <w:rFonts w:ascii="Century" w:hAnsi="Century"/>
              </w:rPr>
            </w:pPr>
            <w:r w:rsidRPr="003A7132">
              <w:rPr>
                <w:rFonts w:ascii="Century" w:hAnsi="Century"/>
              </w:rPr>
              <w:t>2,0</w:t>
            </w:r>
          </w:p>
        </w:tc>
      </w:tr>
      <w:tr w:rsidR="003A7132" w:rsidRPr="003A7132" w:rsidTr="00843D61">
        <w:trPr>
          <w:trHeight w:val="454"/>
        </w:trPr>
        <w:tc>
          <w:tcPr>
            <w:tcW w:w="5954" w:type="dxa"/>
            <w:shd w:val="clear" w:color="auto" w:fill="FFFFFF" w:themeFill="background1"/>
            <w:vAlign w:val="center"/>
          </w:tcPr>
          <w:p w:rsidR="003A7132" w:rsidRPr="003A7132" w:rsidRDefault="003A7132" w:rsidP="00843D61">
            <w:pPr>
              <w:rPr>
                <w:rFonts w:ascii="Century" w:hAnsi="Century"/>
                <w:b/>
              </w:rPr>
            </w:pPr>
            <w:r w:rsidRPr="003A7132">
              <w:rPr>
                <w:rFonts w:ascii="Century" w:hAnsi="Century"/>
              </w:rPr>
              <w:t>Экспорт товаров, млрд долл. США</w:t>
            </w:r>
          </w:p>
        </w:tc>
        <w:tc>
          <w:tcPr>
            <w:tcW w:w="1086" w:type="dxa"/>
            <w:shd w:val="clear" w:color="auto" w:fill="FFFFFF" w:themeFill="background1"/>
            <w:vAlign w:val="center"/>
          </w:tcPr>
          <w:p w:rsidR="003A7132" w:rsidRPr="003A7132" w:rsidRDefault="003A7132" w:rsidP="00843D61">
            <w:pPr>
              <w:jc w:val="right"/>
              <w:rPr>
                <w:rFonts w:ascii="Century" w:hAnsi="Century"/>
              </w:rPr>
            </w:pPr>
            <w:r w:rsidRPr="003A7132">
              <w:rPr>
                <w:rFonts w:ascii="Century" w:hAnsi="Century"/>
              </w:rPr>
              <w:t>241,4</w:t>
            </w:r>
          </w:p>
        </w:tc>
        <w:tc>
          <w:tcPr>
            <w:tcW w:w="1087" w:type="dxa"/>
            <w:shd w:val="clear" w:color="auto" w:fill="FFFFFF" w:themeFill="background1"/>
            <w:vAlign w:val="center"/>
          </w:tcPr>
          <w:p w:rsidR="003A7132" w:rsidRPr="003A7132" w:rsidRDefault="003A7132" w:rsidP="00843D61">
            <w:pPr>
              <w:jc w:val="right"/>
              <w:rPr>
                <w:rFonts w:ascii="Century" w:hAnsi="Century"/>
              </w:rPr>
            </w:pPr>
            <w:r w:rsidRPr="003A7132">
              <w:rPr>
                <w:rFonts w:ascii="Century" w:hAnsi="Century"/>
              </w:rPr>
              <w:t>231,5</w:t>
            </w:r>
          </w:p>
        </w:tc>
        <w:tc>
          <w:tcPr>
            <w:tcW w:w="1087" w:type="dxa"/>
            <w:shd w:val="clear" w:color="auto" w:fill="FFFFFF" w:themeFill="background1"/>
            <w:vAlign w:val="center"/>
          </w:tcPr>
          <w:p w:rsidR="003A7132" w:rsidRPr="003A7132" w:rsidRDefault="003A7132" w:rsidP="00843D61">
            <w:pPr>
              <w:jc w:val="right"/>
              <w:rPr>
                <w:rFonts w:ascii="Century" w:hAnsi="Century"/>
              </w:rPr>
            </w:pPr>
            <w:r w:rsidRPr="003A7132">
              <w:rPr>
                <w:rFonts w:ascii="Century" w:hAnsi="Century"/>
              </w:rPr>
              <w:t>224,4</w:t>
            </w:r>
          </w:p>
        </w:tc>
      </w:tr>
      <w:tr w:rsidR="003A7132" w:rsidRPr="003A7132" w:rsidTr="00843D61">
        <w:trPr>
          <w:trHeight w:val="454"/>
        </w:trPr>
        <w:tc>
          <w:tcPr>
            <w:tcW w:w="5954" w:type="dxa"/>
            <w:tcBorders>
              <w:bottom w:val="single" w:sz="4" w:space="0" w:color="auto"/>
            </w:tcBorders>
            <w:shd w:val="clear" w:color="auto" w:fill="F2F2F2"/>
            <w:vAlign w:val="center"/>
          </w:tcPr>
          <w:p w:rsidR="003A7132" w:rsidRPr="003A7132" w:rsidRDefault="003A7132" w:rsidP="00843D61">
            <w:pPr>
              <w:rPr>
                <w:rFonts w:ascii="Century" w:hAnsi="Century"/>
                <w:b/>
              </w:rPr>
            </w:pPr>
            <w:r w:rsidRPr="003A7132">
              <w:rPr>
                <w:rFonts w:ascii="Century" w:hAnsi="Century"/>
              </w:rPr>
              <w:t>Импорт товаров, млрд долл. США</w:t>
            </w:r>
          </w:p>
        </w:tc>
        <w:tc>
          <w:tcPr>
            <w:tcW w:w="1086" w:type="dxa"/>
            <w:tcBorders>
              <w:bottom w:val="single" w:sz="4" w:space="0" w:color="auto"/>
            </w:tcBorders>
            <w:shd w:val="clear" w:color="auto" w:fill="F2F2F2"/>
            <w:vAlign w:val="center"/>
          </w:tcPr>
          <w:p w:rsidR="003A7132" w:rsidRPr="003A7132" w:rsidRDefault="003A7132" w:rsidP="00843D61">
            <w:pPr>
              <w:jc w:val="right"/>
              <w:rPr>
                <w:rFonts w:ascii="Century" w:hAnsi="Century"/>
              </w:rPr>
            </w:pPr>
            <w:r w:rsidRPr="003A7132">
              <w:rPr>
                <w:rFonts w:ascii="Century" w:hAnsi="Century"/>
              </w:rPr>
              <w:t>289,6</w:t>
            </w:r>
          </w:p>
        </w:tc>
        <w:tc>
          <w:tcPr>
            <w:tcW w:w="1087" w:type="dxa"/>
            <w:tcBorders>
              <w:bottom w:val="single" w:sz="4" w:space="0" w:color="auto"/>
            </w:tcBorders>
            <w:shd w:val="clear" w:color="auto" w:fill="F2F2F2"/>
            <w:vAlign w:val="center"/>
          </w:tcPr>
          <w:p w:rsidR="003A7132" w:rsidRPr="003A7132" w:rsidRDefault="003A7132" w:rsidP="00843D61">
            <w:pPr>
              <w:jc w:val="right"/>
              <w:rPr>
                <w:rFonts w:ascii="Century" w:hAnsi="Century"/>
              </w:rPr>
            </w:pPr>
            <w:r w:rsidRPr="003A7132">
              <w:rPr>
                <w:rFonts w:ascii="Century" w:hAnsi="Century"/>
              </w:rPr>
              <w:t>306,9</w:t>
            </w:r>
          </w:p>
        </w:tc>
        <w:tc>
          <w:tcPr>
            <w:tcW w:w="1087" w:type="dxa"/>
            <w:tcBorders>
              <w:bottom w:val="single" w:sz="4" w:space="0" w:color="auto"/>
            </w:tcBorders>
            <w:shd w:val="clear" w:color="auto" w:fill="F2F2F2"/>
            <w:vAlign w:val="center"/>
          </w:tcPr>
          <w:p w:rsidR="003A7132" w:rsidRPr="003A7132" w:rsidRDefault="003A7132" w:rsidP="00843D61">
            <w:pPr>
              <w:jc w:val="right"/>
              <w:rPr>
                <w:rFonts w:ascii="Century" w:hAnsi="Century"/>
              </w:rPr>
            </w:pPr>
            <w:r w:rsidRPr="003A7132">
              <w:rPr>
                <w:rFonts w:ascii="Century" w:hAnsi="Century"/>
              </w:rPr>
              <w:t>325,3</w:t>
            </w:r>
          </w:p>
        </w:tc>
      </w:tr>
    </w:tbl>
    <w:p w:rsidR="004E2069" w:rsidRPr="003F0679" w:rsidRDefault="004E2069">
      <w:pPr>
        <w:rPr>
          <w:rFonts w:ascii="Times New Roman" w:hAnsi="Times New Roman"/>
          <w:sz w:val="24"/>
          <w:szCs w:val="24"/>
          <w:highlight w:val="lightGray"/>
        </w:rPr>
      </w:pPr>
      <w:r w:rsidRPr="003F0679">
        <w:rPr>
          <w:rFonts w:ascii="Times New Roman" w:hAnsi="Times New Roman"/>
          <w:sz w:val="24"/>
          <w:szCs w:val="24"/>
          <w:highlight w:val="lightGray"/>
        </w:rPr>
        <w:br w:type="page"/>
      </w:r>
    </w:p>
    <w:p w:rsidR="004E2069" w:rsidRPr="00841E25" w:rsidRDefault="004E2069" w:rsidP="00D65F4C">
      <w:pPr>
        <w:pStyle w:val="10"/>
        <w:numPr>
          <w:ilvl w:val="0"/>
          <w:numId w:val="3"/>
        </w:numPr>
        <w:spacing w:after="240"/>
        <w:rPr>
          <w:szCs w:val="32"/>
        </w:rPr>
      </w:pPr>
      <w:bookmarkStart w:id="19" w:name="_Toc518648653"/>
      <w:r w:rsidRPr="00841E25">
        <w:rPr>
          <w:szCs w:val="32"/>
        </w:rPr>
        <w:lastRenderedPageBreak/>
        <w:t>ЦЕЛИ И ЗАДАЧИ БЮДЖЕТНОЙ, НАЛОГОВОЙ И ТАМОЖЕННО-ТАРИФНОЙ ПОЛИТИКИ</w:t>
      </w:r>
      <w:r w:rsidR="00881FE2">
        <w:rPr>
          <w:szCs w:val="32"/>
        </w:rPr>
        <w:t xml:space="preserve"> НА 201</w:t>
      </w:r>
      <w:r w:rsidR="000470E5">
        <w:rPr>
          <w:szCs w:val="32"/>
        </w:rPr>
        <w:t>9</w:t>
      </w:r>
      <w:r w:rsidR="00881FE2">
        <w:rPr>
          <w:szCs w:val="32"/>
        </w:rPr>
        <w:t>-202</w:t>
      </w:r>
      <w:r w:rsidR="000470E5">
        <w:rPr>
          <w:szCs w:val="32"/>
        </w:rPr>
        <w:t>1</w:t>
      </w:r>
      <w:bookmarkEnd w:id="19"/>
    </w:p>
    <w:p w:rsidR="007903DA" w:rsidRDefault="007903DA" w:rsidP="007903DA">
      <w:pPr>
        <w:spacing w:before="120" w:after="120"/>
        <w:jc w:val="both"/>
        <w:rPr>
          <w:rFonts w:ascii="Times New Roman" w:hAnsi="Times New Roman"/>
          <w:sz w:val="24"/>
          <w:szCs w:val="24"/>
        </w:rPr>
      </w:pPr>
      <w:r w:rsidRPr="007903DA">
        <w:rPr>
          <w:rFonts w:ascii="Times New Roman" w:hAnsi="Times New Roman"/>
          <w:sz w:val="24"/>
          <w:szCs w:val="24"/>
        </w:rPr>
        <w:t xml:space="preserve">Президентом России были поставлены </w:t>
      </w:r>
      <w:r w:rsidRPr="007903DA">
        <w:rPr>
          <w:rFonts w:ascii="Times New Roman" w:hAnsi="Times New Roman"/>
          <w:b/>
          <w:sz w:val="24"/>
          <w:szCs w:val="24"/>
        </w:rPr>
        <w:t>национальные цели развития</w:t>
      </w:r>
      <w:r w:rsidRPr="007903DA">
        <w:rPr>
          <w:rFonts w:ascii="Times New Roman" w:hAnsi="Times New Roman"/>
          <w:sz w:val="24"/>
          <w:szCs w:val="24"/>
        </w:rPr>
        <w:t xml:space="preserve"> на ближайшие 6 лет практически во всех сферах общественной жизни – </w:t>
      </w:r>
      <w:r w:rsidR="0059280A" w:rsidRPr="0059280A">
        <w:rPr>
          <w:rFonts w:ascii="Times New Roman" w:hAnsi="Times New Roman"/>
          <w:sz w:val="24"/>
          <w:szCs w:val="24"/>
        </w:rPr>
        <w:t xml:space="preserve">повышение качества жизни и благосостояния </w:t>
      </w:r>
      <w:r w:rsidR="0059280A">
        <w:rPr>
          <w:rFonts w:ascii="Times New Roman" w:hAnsi="Times New Roman"/>
          <w:sz w:val="24"/>
          <w:szCs w:val="24"/>
        </w:rPr>
        <w:t>граждан</w:t>
      </w:r>
      <w:r w:rsidR="0059280A" w:rsidRPr="0059280A">
        <w:rPr>
          <w:rFonts w:ascii="Times New Roman" w:hAnsi="Times New Roman"/>
          <w:sz w:val="24"/>
          <w:szCs w:val="24"/>
        </w:rPr>
        <w:t>, снижение бедности и неравенства, повышение качества и доступности здравоохранения и образования, создание современной инфраструктуры</w:t>
      </w:r>
      <w:r w:rsidRPr="007903DA">
        <w:rPr>
          <w:rFonts w:ascii="Times New Roman" w:hAnsi="Times New Roman"/>
          <w:sz w:val="24"/>
          <w:szCs w:val="24"/>
        </w:rPr>
        <w:t>.</w:t>
      </w:r>
    </w:p>
    <w:p w:rsidR="00885A13" w:rsidRDefault="00885A13" w:rsidP="007903DA">
      <w:pPr>
        <w:spacing w:before="120" w:after="120"/>
        <w:jc w:val="both"/>
        <w:rPr>
          <w:rFonts w:ascii="Times New Roman" w:hAnsi="Times New Roman"/>
          <w:sz w:val="24"/>
          <w:szCs w:val="24"/>
        </w:rPr>
      </w:pPr>
      <w:r>
        <w:rPr>
          <w:rFonts w:ascii="Times New Roman" w:hAnsi="Times New Roman"/>
          <w:sz w:val="24"/>
          <w:szCs w:val="24"/>
        </w:rPr>
        <w:t xml:space="preserve">Достижение этих амбициозных целей возможно только </w:t>
      </w:r>
      <w:r w:rsidRPr="00885A13">
        <w:rPr>
          <w:rFonts w:ascii="Times New Roman" w:hAnsi="Times New Roman"/>
          <w:sz w:val="24"/>
          <w:szCs w:val="24"/>
        </w:rPr>
        <w:t xml:space="preserve">на </w:t>
      </w:r>
      <w:r w:rsidR="0059280A">
        <w:rPr>
          <w:rFonts w:ascii="Times New Roman" w:hAnsi="Times New Roman"/>
          <w:sz w:val="24"/>
          <w:szCs w:val="24"/>
        </w:rPr>
        <w:t xml:space="preserve">надежной и крепкой </w:t>
      </w:r>
      <w:r w:rsidRPr="00885A13">
        <w:rPr>
          <w:rFonts w:ascii="Times New Roman" w:hAnsi="Times New Roman"/>
          <w:sz w:val="24"/>
          <w:szCs w:val="24"/>
        </w:rPr>
        <w:t xml:space="preserve">основе </w:t>
      </w:r>
      <w:r w:rsidRPr="0059280A">
        <w:rPr>
          <w:rFonts w:ascii="Times New Roman" w:hAnsi="Times New Roman"/>
          <w:b/>
          <w:sz w:val="24"/>
          <w:szCs w:val="24"/>
        </w:rPr>
        <w:t>устойчивого ускорения экономического роста</w:t>
      </w:r>
      <w:r w:rsidR="0059280A">
        <w:rPr>
          <w:rFonts w:ascii="Times New Roman" w:hAnsi="Times New Roman"/>
          <w:sz w:val="24"/>
          <w:szCs w:val="24"/>
        </w:rPr>
        <w:t>.</w:t>
      </w:r>
    </w:p>
    <w:p w:rsidR="004E2069" w:rsidRPr="00841E25" w:rsidRDefault="0059280A" w:rsidP="00E60144">
      <w:pPr>
        <w:pStyle w:val="20"/>
        <w:numPr>
          <w:ilvl w:val="1"/>
          <w:numId w:val="3"/>
        </w:numPr>
        <w:spacing w:before="240" w:after="240"/>
        <w:rPr>
          <w:rFonts w:ascii="Times New Roman" w:hAnsi="Times New Roman"/>
          <w:sz w:val="28"/>
          <w:szCs w:val="28"/>
        </w:rPr>
      </w:pPr>
      <w:bookmarkStart w:id="20" w:name="_Toc518648654"/>
      <w:r>
        <w:rPr>
          <w:rFonts w:ascii="Times New Roman" w:hAnsi="Times New Roman"/>
          <w:sz w:val="28"/>
          <w:szCs w:val="28"/>
        </w:rPr>
        <w:t>РАСШИРЕНИЕ ПОТЕНЦИАЛА ЭКОНОМИКИ</w:t>
      </w:r>
      <w:bookmarkEnd w:id="20"/>
    </w:p>
    <w:p w:rsidR="00B64C98" w:rsidRDefault="00B64C98" w:rsidP="00B64C98">
      <w:pPr>
        <w:spacing w:before="120" w:after="120"/>
        <w:jc w:val="both"/>
        <w:rPr>
          <w:rFonts w:ascii="Times New Roman" w:hAnsi="Times New Roman"/>
          <w:sz w:val="24"/>
          <w:szCs w:val="24"/>
        </w:rPr>
      </w:pPr>
      <w:r>
        <w:rPr>
          <w:rFonts w:ascii="Times New Roman" w:hAnsi="Times New Roman"/>
          <w:sz w:val="24"/>
          <w:szCs w:val="24"/>
        </w:rPr>
        <w:t>Р</w:t>
      </w:r>
      <w:r w:rsidRPr="00B64C98">
        <w:rPr>
          <w:rFonts w:ascii="Times New Roman" w:hAnsi="Times New Roman"/>
          <w:sz w:val="24"/>
          <w:szCs w:val="24"/>
        </w:rPr>
        <w:t xml:space="preserve">асширение производственного потенциала российской экономики требует дополнительных инвестиций в основной капитал. Вместе с тем, </w:t>
      </w:r>
      <w:r>
        <w:rPr>
          <w:rFonts w:ascii="Times New Roman" w:hAnsi="Times New Roman"/>
          <w:sz w:val="24"/>
          <w:szCs w:val="24"/>
        </w:rPr>
        <w:t>п</w:t>
      </w:r>
      <w:r w:rsidRPr="00B64C98">
        <w:rPr>
          <w:rFonts w:ascii="Times New Roman" w:hAnsi="Times New Roman"/>
          <w:sz w:val="24"/>
          <w:szCs w:val="24"/>
        </w:rPr>
        <w:t>о итогам 2015-2017 годов объем инвестиций в основной капитал составил порядка 20,5% ВВП, что по оценкам, основанным на анализе динамики экономик широкого спектр</w:t>
      </w:r>
      <w:r w:rsidR="005758A0">
        <w:rPr>
          <w:rFonts w:ascii="Times New Roman" w:hAnsi="Times New Roman"/>
          <w:sz w:val="24"/>
          <w:szCs w:val="24"/>
        </w:rPr>
        <w:t>а стран за период с 1980 по 2015</w:t>
      </w:r>
      <w:r w:rsidRPr="00B64C98">
        <w:rPr>
          <w:rFonts w:ascii="Times New Roman" w:hAnsi="Times New Roman"/>
          <w:sz w:val="24"/>
          <w:szCs w:val="24"/>
        </w:rPr>
        <w:t xml:space="preserve"> годы (см. вставку), может обеспечить долгосрочные темпы роста ВВП на одного работающего в размере, не превышающем 1,5-2,0% в </w:t>
      </w:r>
      <w:r>
        <w:rPr>
          <w:rFonts w:ascii="Times New Roman" w:hAnsi="Times New Roman"/>
          <w:sz w:val="24"/>
          <w:szCs w:val="24"/>
        </w:rPr>
        <w:t>год.</w:t>
      </w:r>
    </w:p>
    <w:p w:rsidR="00B64C98" w:rsidRPr="00B64C98" w:rsidRDefault="00B64C98" w:rsidP="00B64C98">
      <w:pPr>
        <w:spacing w:before="120" w:after="120"/>
        <w:jc w:val="both"/>
        <w:rPr>
          <w:rFonts w:ascii="Times New Roman" w:hAnsi="Times New Roman"/>
          <w:sz w:val="24"/>
          <w:szCs w:val="24"/>
        </w:rPr>
      </w:pPr>
      <w:r w:rsidRPr="008C0987">
        <w:rPr>
          <w:noProof/>
          <w:lang w:eastAsia="ru-RU"/>
        </w:rPr>
        <mc:AlternateContent>
          <mc:Choice Requires="wps">
            <w:drawing>
              <wp:anchor distT="45720" distB="45720" distL="114300" distR="114300" simplePos="0" relativeHeight="251671040" behindDoc="0" locked="0" layoutInCell="1" allowOverlap="1" wp14:anchorId="1208B2D5" wp14:editId="72C158E3">
                <wp:simplePos x="0" y="0"/>
                <wp:positionH relativeFrom="margin">
                  <wp:posOffset>41910</wp:posOffset>
                </wp:positionH>
                <wp:positionV relativeFrom="paragraph">
                  <wp:posOffset>1764030</wp:posOffset>
                </wp:positionV>
                <wp:extent cx="5861050" cy="3229610"/>
                <wp:effectExtent l="0" t="0" r="6350" b="8890"/>
                <wp:wrapSquare wrapText="bothSides"/>
                <wp:docPr id="10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229610"/>
                        </a:xfrm>
                        <a:prstGeom prst="rect">
                          <a:avLst/>
                        </a:prstGeom>
                        <a:solidFill>
                          <a:schemeClr val="bg1">
                            <a:lumMod val="95000"/>
                          </a:schemeClr>
                        </a:solidFill>
                        <a:ln w="9525">
                          <a:noFill/>
                          <a:miter lim="800000"/>
                          <a:headEnd/>
                          <a:tailEnd/>
                        </a:ln>
                      </wps:spPr>
                      <wps:txbx>
                        <w:txbxContent>
                          <w:p w:rsidR="003A7132" w:rsidRDefault="003A7132" w:rsidP="00B64C98">
                            <w:pPr>
                              <w:rPr>
                                <w:rFonts w:ascii="Times New Roman" w:hAnsi="Times New Roman"/>
                                <w:b/>
                                <w:sz w:val="24"/>
                                <w:szCs w:val="24"/>
                              </w:rPr>
                            </w:pPr>
                            <w:r>
                              <w:rPr>
                                <w:rFonts w:ascii="Times New Roman" w:hAnsi="Times New Roman"/>
                                <w:b/>
                                <w:sz w:val="24"/>
                                <w:szCs w:val="24"/>
                              </w:rPr>
                              <w:t>Модель потенциального роста</w:t>
                            </w:r>
                          </w:p>
                          <w:p w:rsidR="003A7132" w:rsidRDefault="003A7132" w:rsidP="00B64C98">
                            <w:pPr>
                              <w:spacing w:before="120" w:after="120"/>
                              <w:jc w:val="both"/>
                              <w:rPr>
                                <w:rFonts w:ascii="Times New Roman" w:hAnsi="Times New Roman"/>
                                <w:sz w:val="20"/>
                                <w:szCs w:val="20"/>
                              </w:rPr>
                            </w:pPr>
                            <w:r w:rsidRPr="00524848">
                              <w:rPr>
                                <w:rFonts w:ascii="Times New Roman" w:hAnsi="Times New Roman"/>
                                <w:sz w:val="20"/>
                                <w:szCs w:val="20"/>
                              </w:rPr>
                              <w:t xml:space="preserve">Современные теоретические модели </w:t>
                            </w:r>
                            <w:r>
                              <w:rPr>
                                <w:rFonts w:ascii="Times New Roman" w:hAnsi="Times New Roman"/>
                                <w:sz w:val="20"/>
                                <w:szCs w:val="20"/>
                              </w:rPr>
                              <w:t xml:space="preserve">долгосрочного </w:t>
                            </w:r>
                            <w:r w:rsidRPr="00524848">
                              <w:rPr>
                                <w:rFonts w:ascii="Times New Roman" w:hAnsi="Times New Roman"/>
                                <w:sz w:val="20"/>
                                <w:szCs w:val="20"/>
                              </w:rPr>
                              <w:t>экономического роста рассматривают значительное количество факторов: от накопительных эффектов освоения подходов к производству до институциональных и культурных факторов вроде ассиметричной информации и уровня доверия</w:t>
                            </w:r>
                            <w:r>
                              <w:rPr>
                                <w:rFonts w:ascii="Times New Roman" w:hAnsi="Times New Roman"/>
                                <w:sz w:val="20"/>
                                <w:szCs w:val="20"/>
                              </w:rPr>
                              <w:t>.</w:t>
                            </w:r>
                          </w:p>
                          <w:p w:rsidR="003A7132" w:rsidRPr="00750638" w:rsidRDefault="003A7132" w:rsidP="00B64C98">
                            <w:pPr>
                              <w:spacing w:before="120" w:after="120"/>
                              <w:jc w:val="both"/>
                              <w:rPr>
                                <w:rFonts w:ascii="Times New Roman" w:hAnsi="Times New Roman"/>
                                <w:sz w:val="20"/>
                                <w:szCs w:val="20"/>
                              </w:rPr>
                            </w:pPr>
                            <w:r>
                              <w:rPr>
                                <w:rFonts w:ascii="Times New Roman" w:hAnsi="Times New Roman"/>
                                <w:sz w:val="20"/>
                                <w:szCs w:val="20"/>
                              </w:rPr>
                              <w:t xml:space="preserve">В целях индикативного определения потенциала отечественной экономики была оценена модель потенциального роста с помощью </w:t>
                            </w:r>
                            <w:r w:rsidRPr="00750638">
                              <w:rPr>
                                <w:rFonts w:ascii="Times New Roman" w:hAnsi="Times New Roman"/>
                                <w:sz w:val="20"/>
                                <w:szCs w:val="20"/>
                              </w:rPr>
                              <w:t>панельной регрессии с фиксированными и временными эффектами. В выборку</w:t>
                            </w:r>
                            <w:r>
                              <w:rPr>
                                <w:rFonts w:ascii="Times New Roman" w:hAnsi="Times New Roman"/>
                                <w:sz w:val="20"/>
                                <w:szCs w:val="20"/>
                              </w:rPr>
                              <w:t xml:space="preserve"> включены </w:t>
                            </w:r>
                            <w:r w:rsidRPr="00750638">
                              <w:rPr>
                                <w:rFonts w:ascii="Times New Roman" w:hAnsi="Times New Roman"/>
                                <w:sz w:val="20"/>
                                <w:szCs w:val="20"/>
                              </w:rPr>
                              <w:t>64 страны</w:t>
                            </w:r>
                            <w:r>
                              <w:rPr>
                                <w:rFonts w:ascii="Times New Roman" w:hAnsi="Times New Roman"/>
                                <w:sz w:val="20"/>
                                <w:szCs w:val="20"/>
                              </w:rPr>
                              <w:t>,</w:t>
                            </w:r>
                            <w:r w:rsidRPr="00750638">
                              <w:rPr>
                                <w:rFonts w:ascii="Times New Roman" w:hAnsi="Times New Roman"/>
                                <w:sz w:val="20"/>
                                <w:szCs w:val="20"/>
                              </w:rPr>
                              <w:t xml:space="preserve"> которые представляют как развитые, так и развивающиеся экономики на различных этапах становления рыночных отношений. Период наблюдения охватывает в большинстве случаев 198</w:t>
                            </w:r>
                            <w:r>
                              <w:rPr>
                                <w:rFonts w:ascii="Times New Roman" w:hAnsi="Times New Roman"/>
                                <w:sz w:val="20"/>
                                <w:szCs w:val="20"/>
                              </w:rPr>
                              <w:t>0</w:t>
                            </w:r>
                            <w:r w:rsidRPr="00750638">
                              <w:rPr>
                                <w:rFonts w:ascii="Times New Roman" w:hAnsi="Times New Roman"/>
                                <w:sz w:val="20"/>
                                <w:szCs w:val="20"/>
                              </w:rPr>
                              <w:t>-201</w:t>
                            </w:r>
                            <w:r>
                              <w:rPr>
                                <w:rFonts w:ascii="Times New Roman" w:hAnsi="Times New Roman"/>
                                <w:sz w:val="20"/>
                                <w:szCs w:val="20"/>
                              </w:rPr>
                              <w:t>5</w:t>
                            </w:r>
                            <w:r w:rsidRPr="00750638">
                              <w:rPr>
                                <w:rFonts w:ascii="Times New Roman" w:hAnsi="Times New Roman"/>
                                <w:sz w:val="20"/>
                                <w:szCs w:val="20"/>
                              </w:rPr>
                              <w:t xml:space="preserve"> гг.</w:t>
                            </w:r>
                            <w:r>
                              <w:rPr>
                                <w:rFonts w:ascii="Times New Roman" w:hAnsi="Times New Roman"/>
                                <w:sz w:val="20"/>
                                <w:szCs w:val="20"/>
                              </w:rPr>
                              <w:t>.</w:t>
                            </w:r>
                          </w:p>
                          <w:p w:rsidR="003A7132" w:rsidRDefault="003A7132" w:rsidP="00B64C98">
                            <w:pPr>
                              <w:spacing w:before="120" w:after="120"/>
                              <w:jc w:val="both"/>
                              <w:rPr>
                                <w:rFonts w:ascii="Times New Roman" w:hAnsi="Times New Roman"/>
                                <w:sz w:val="20"/>
                                <w:szCs w:val="20"/>
                              </w:rPr>
                            </w:pPr>
                            <w:r w:rsidRPr="00750638">
                              <w:rPr>
                                <w:rFonts w:ascii="Times New Roman" w:hAnsi="Times New Roman"/>
                                <w:sz w:val="20"/>
                                <w:szCs w:val="20"/>
                              </w:rPr>
                              <w:t>Зависимой переменной является прирост выпуска в пост</w:t>
                            </w:r>
                            <w:r>
                              <w:rPr>
                                <w:rFonts w:ascii="Times New Roman" w:hAnsi="Times New Roman"/>
                                <w:sz w:val="20"/>
                                <w:szCs w:val="20"/>
                              </w:rPr>
                              <w:t>оянных ценах на одного занятого, а в</w:t>
                            </w:r>
                            <w:r w:rsidRPr="00750638">
                              <w:rPr>
                                <w:rFonts w:ascii="Times New Roman" w:hAnsi="Times New Roman"/>
                                <w:sz w:val="20"/>
                                <w:szCs w:val="20"/>
                              </w:rPr>
                              <w:t xml:space="preserve"> качестве объясняющих переменных используются следующие показатели</w:t>
                            </w:r>
                            <w:r>
                              <w:rPr>
                                <w:rFonts w:ascii="Times New Roman" w:hAnsi="Times New Roman"/>
                                <w:sz w:val="20"/>
                                <w:szCs w:val="20"/>
                              </w:rPr>
                              <w:t>:</w:t>
                            </w:r>
                          </w:p>
                          <w:p w:rsidR="003A7132" w:rsidRDefault="003A7132" w:rsidP="006A22F2">
                            <w:pPr>
                              <w:pStyle w:val="aa"/>
                              <w:numPr>
                                <w:ilvl w:val="0"/>
                                <w:numId w:val="13"/>
                              </w:numPr>
                              <w:spacing w:before="120" w:after="120"/>
                              <w:ind w:left="624" w:hanging="624"/>
                              <w:contextualSpacing w:val="0"/>
                              <w:jc w:val="both"/>
                              <w:rPr>
                                <w:rFonts w:ascii="Times New Roman" w:hAnsi="Times New Roman"/>
                                <w:sz w:val="20"/>
                                <w:szCs w:val="20"/>
                              </w:rPr>
                            </w:pPr>
                            <w:r w:rsidRPr="00054632">
                              <w:rPr>
                                <w:rFonts w:ascii="Times New Roman" w:hAnsi="Times New Roman"/>
                                <w:sz w:val="20"/>
                                <w:szCs w:val="20"/>
                              </w:rPr>
                              <w:t>отношение инвестиций в основной капитал к ВВП</w:t>
                            </w:r>
                            <w:r>
                              <w:rPr>
                                <w:rFonts w:ascii="Times New Roman" w:hAnsi="Times New Roman"/>
                                <w:sz w:val="20"/>
                                <w:szCs w:val="20"/>
                              </w:rPr>
                              <w:t xml:space="preserve"> / </w:t>
                            </w:r>
                            <w:r w:rsidRPr="00054632">
                              <w:rPr>
                                <w:rFonts w:ascii="Times New Roman" w:hAnsi="Times New Roman"/>
                                <w:sz w:val="20"/>
                                <w:szCs w:val="20"/>
                              </w:rPr>
                              <w:t>оценка прироста основных средств;</w:t>
                            </w:r>
                          </w:p>
                          <w:p w:rsidR="003A7132" w:rsidRDefault="003A7132" w:rsidP="006A22F2">
                            <w:pPr>
                              <w:pStyle w:val="aa"/>
                              <w:numPr>
                                <w:ilvl w:val="0"/>
                                <w:numId w:val="13"/>
                              </w:numPr>
                              <w:spacing w:before="120" w:after="120"/>
                              <w:ind w:left="624" w:hanging="624"/>
                              <w:contextualSpacing w:val="0"/>
                              <w:jc w:val="both"/>
                              <w:rPr>
                                <w:rFonts w:ascii="Times New Roman" w:hAnsi="Times New Roman"/>
                                <w:sz w:val="20"/>
                                <w:szCs w:val="20"/>
                              </w:rPr>
                            </w:pPr>
                            <w:r w:rsidRPr="00054632">
                              <w:rPr>
                                <w:rFonts w:ascii="Times New Roman" w:hAnsi="Times New Roman"/>
                                <w:sz w:val="20"/>
                                <w:szCs w:val="20"/>
                              </w:rPr>
                              <w:t>изменение</w:t>
                            </w:r>
                            <w:r>
                              <w:rPr>
                                <w:rFonts w:ascii="Times New Roman" w:hAnsi="Times New Roman"/>
                                <w:sz w:val="20"/>
                                <w:szCs w:val="20"/>
                              </w:rPr>
                              <w:t xml:space="preserve"> условий торговли;</w:t>
                            </w:r>
                          </w:p>
                          <w:p w:rsidR="003A7132" w:rsidRDefault="003A7132" w:rsidP="006A22F2">
                            <w:pPr>
                              <w:pStyle w:val="aa"/>
                              <w:numPr>
                                <w:ilvl w:val="0"/>
                                <w:numId w:val="13"/>
                              </w:numPr>
                              <w:spacing w:before="120" w:after="120"/>
                              <w:ind w:left="624" w:hanging="624"/>
                              <w:contextualSpacing w:val="0"/>
                              <w:jc w:val="both"/>
                              <w:rPr>
                                <w:rFonts w:ascii="Times New Roman" w:hAnsi="Times New Roman"/>
                                <w:sz w:val="20"/>
                                <w:szCs w:val="20"/>
                              </w:rPr>
                            </w:pPr>
                            <w:r w:rsidRPr="00B64C98">
                              <w:rPr>
                                <w:rFonts w:ascii="Times New Roman" w:hAnsi="Times New Roman"/>
                                <w:sz w:val="20"/>
                                <w:szCs w:val="20"/>
                              </w:rPr>
                              <w:t>отношение бюджетных расходов к ВВП;</w:t>
                            </w:r>
                          </w:p>
                          <w:p w:rsidR="003A7132" w:rsidRPr="00B64C98" w:rsidRDefault="003A7132" w:rsidP="006A22F2">
                            <w:pPr>
                              <w:pStyle w:val="aa"/>
                              <w:numPr>
                                <w:ilvl w:val="0"/>
                                <w:numId w:val="13"/>
                              </w:numPr>
                              <w:spacing w:before="120" w:after="120"/>
                              <w:ind w:left="624" w:hanging="624"/>
                              <w:contextualSpacing w:val="0"/>
                              <w:jc w:val="both"/>
                              <w:rPr>
                                <w:rFonts w:ascii="Times New Roman" w:hAnsi="Times New Roman"/>
                                <w:sz w:val="20"/>
                                <w:szCs w:val="20"/>
                              </w:rPr>
                            </w:pPr>
                            <w:r w:rsidRPr="00B64C98">
                              <w:rPr>
                                <w:rFonts w:ascii="Times New Roman" w:hAnsi="Times New Roman"/>
                                <w:sz w:val="20"/>
                                <w:szCs w:val="20"/>
                              </w:rPr>
                              <w:t>отклонение уровня ВВП по ППС страны от среднего по выборке уровня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3pt;margin-top:138.9pt;width:461.5pt;height:254.3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" fillcolor="#f2f2f2 [3052]" stroked="f">
                <v:textbox>
                  <w:txbxContent>
                    <w:p w:rsidR="003A7132" w:rsidRDefault="003A7132" w:rsidP="00B64C98">
                      <w:pPr>
                        <w:rPr>
                          <w:rFonts w:ascii="Times New Roman" w:hAnsi="Times New Roman"/>
                          <w:b/>
                          <w:sz w:val="24"/>
                          <w:szCs w:val="24"/>
                        </w:rPr>
                      </w:pPr>
                      <w:r>
                        <w:rPr>
                          <w:rFonts w:ascii="Times New Roman" w:hAnsi="Times New Roman"/>
                          <w:b/>
                          <w:sz w:val="24"/>
                          <w:szCs w:val="24"/>
                        </w:rPr>
                        <w:t>Модель потенциального роста</w:t>
                      </w:r>
                    </w:p>
                    <w:p w:rsidR="003A7132" w:rsidRDefault="003A7132" w:rsidP="00B64C98">
                      <w:pPr>
                        <w:spacing w:before="120" w:after="120"/>
                        <w:jc w:val="both"/>
                        <w:rPr>
                          <w:rFonts w:ascii="Times New Roman" w:hAnsi="Times New Roman"/>
                          <w:sz w:val="20"/>
                          <w:szCs w:val="20"/>
                        </w:rPr>
                      </w:pPr>
                      <w:r w:rsidRPr="00524848">
                        <w:rPr>
                          <w:rFonts w:ascii="Times New Roman" w:hAnsi="Times New Roman"/>
                          <w:sz w:val="20"/>
                          <w:szCs w:val="20"/>
                        </w:rPr>
                        <w:t xml:space="preserve">Современные теоретические модели </w:t>
                      </w:r>
                      <w:r>
                        <w:rPr>
                          <w:rFonts w:ascii="Times New Roman" w:hAnsi="Times New Roman"/>
                          <w:sz w:val="20"/>
                          <w:szCs w:val="20"/>
                        </w:rPr>
                        <w:t xml:space="preserve">долгосрочного </w:t>
                      </w:r>
                      <w:r w:rsidRPr="00524848">
                        <w:rPr>
                          <w:rFonts w:ascii="Times New Roman" w:hAnsi="Times New Roman"/>
                          <w:sz w:val="20"/>
                          <w:szCs w:val="20"/>
                        </w:rPr>
                        <w:t>экономического роста рассматривают значительное количество факторов: от накопительных эффектов освоения подходов к производству до институциональных и культурных факторов вроде ассиметричной информации и уровня доверия</w:t>
                      </w:r>
                      <w:r>
                        <w:rPr>
                          <w:rFonts w:ascii="Times New Roman" w:hAnsi="Times New Roman"/>
                          <w:sz w:val="20"/>
                          <w:szCs w:val="20"/>
                        </w:rPr>
                        <w:t>.</w:t>
                      </w:r>
                    </w:p>
                    <w:p w:rsidR="003A7132" w:rsidRPr="00750638" w:rsidRDefault="003A7132" w:rsidP="00B64C98">
                      <w:pPr>
                        <w:spacing w:before="120" w:after="120"/>
                        <w:jc w:val="both"/>
                        <w:rPr>
                          <w:rFonts w:ascii="Times New Roman" w:hAnsi="Times New Roman"/>
                          <w:sz w:val="20"/>
                          <w:szCs w:val="20"/>
                        </w:rPr>
                      </w:pPr>
                      <w:r>
                        <w:rPr>
                          <w:rFonts w:ascii="Times New Roman" w:hAnsi="Times New Roman"/>
                          <w:sz w:val="20"/>
                          <w:szCs w:val="20"/>
                        </w:rPr>
                        <w:t xml:space="preserve">В целях индикативного определения потенциала отечественной экономики была оценена модель потенциального роста с помощью </w:t>
                      </w:r>
                      <w:r w:rsidRPr="00750638">
                        <w:rPr>
                          <w:rFonts w:ascii="Times New Roman" w:hAnsi="Times New Roman"/>
                          <w:sz w:val="20"/>
                          <w:szCs w:val="20"/>
                        </w:rPr>
                        <w:t>панельной регрессии с фиксированными и временными эффектами. В выборку</w:t>
                      </w:r>
                      <w:r>
                        <w:rPr>
                          <w:rFonts w:ascii="Times New Roman" w:hAnsi="Times New Roman"/>
                          <w:sz w:val="20"/>
                          <w:szCs w:val="20"/>
                        </w:rPr>
                        <w:t xml:space="preserve"> включены </w:t>
                      </w:r>
                      <w:r w:rsidRPr="00750638">
                        <w:rPr>
                          <w:rFonts w:ascii="Times New Roman" w:hAnsi="Times New Roman"/>
                          <w:sz w:val="20"/>
                          <w:szCs w:val="20"/>
                        </w:rPr>
                        <w:t>64 страны</w:t>
                      </w:r>
                      <w:r>
                        <w:rPr>
                          <w:rFonts w:ascii="Times New Roman" w:hAnsi="Times New Roman"/>
                          <w:sz w:val="20"/>
                          <w:szCs w:val="20"/>
                        </w:rPr>
                        <w:t>,</w:t>
                      </w:r>
                      <w:r w:rsidRPr="00750638">
                        <w:rPr>
                          <w:rFonts w:ascii="Times New Roman" w:hAnsi="Times New Roman"/>
                          <w:sz w:val="20"/>
                          <w:szCs w:val="20"/>
                        </w:rPr>
                        <w:t xml:space="preserve"> которые представляют как развитые, так и развивающиеся экономики на различных этапах становления рыночных отношений. Период наблюдения охватывает в большинстве случаев 198</w:t>
                      </w:r>
                      <w:r>
                        <w:rPr>
                          <w:rFonts w:ascii="Times New Roman" w:hAnsi="Times New Roman"/>
                          <w:sz w:val="20"/>
                          <w:szCs w:val="20"/>
                        </w:rPr>
                        <w:t>0</w:t>
                      </w:r>
                      <w:r w:rsidRPr="00750638">
                        <w:rPr>
                          <w:rFonts w:ascii="Times New Roman" w:hAnsi="Times New Roman"/>
                          <w:sz w:val="20"/>
                          <w:szCs w:val="20"/>
                        </w:rPr>
                        <w:t>-201</w:t>
                      </w:r>
                      <w:r>
                        <w:rPr>
                          <w:rFonts w:ascii="Times New Roman" w:hAnsi="Times New Roman"/>
                          <w:sz w:val="20"/>
                          <w:szCs w:val="20"/>
                        </w:rPr>
                        <w:t>5</w:t>
                      </w:r>
                      <w:r w:rsidRPr="00750638">
                        <w:rPr>
                          <w:rFonts w:ascii="Times New Roman" w:hAnsi="Times New Roman"/>
                          <w:sz w:val="20"/>
                          <w:szCs w:val="20"/>
                        </w:rPr>
                        <w:t xml:space="preserve"> гг.</w:t>
                      </w:r>
                      <w:r>
                        <w:rPr>
                          <w:rFonts w:ascii="Times New Roman" w:hAnsi="Times New Roman"/>
                          <w:sz w:val="20"/>
                          <w:szCs w:val="20"/>
                        </w:rPr>
                        <w:t>.</w:t>
                      </w:r>
                    </w:p>
                    <w:p w:rsidR="003A7132" w:rsidRDefault="003A7132" w:rsidP="00B64C98">
                      <w:pPr>
                        <w:spacing w:before="120" w:after="120"/>
                        <w:jc w:val="both"/>
                        <w:rPr>
                          <w:rFonts w:ascii="Times New Roman" w:hAnsi="Times New Roman"/>
                          <w:sz w:val="20"/>
                          <w:szCs w:val="20"/>
                        </w:rPr>
                      </w:pPr>
                      <w:r w:rsidRPr="00750638">
                        <w:rPr>
                          <w:rFonts w:ascii="Times New Roman" w:hAnsi="Times New Roman"/>
                          <w:sz w:val="20"/>
                          <w:szCs w:val="20"/>
                        </w:rPr>
                        <w:t>Зависимой переменной является прирост выпуска в пост</w:t>
                      </w:r>
                      <w:r>
                        <w:rPr>
                          <w:rFonts w:ascii="Times New Roman" w:hAnsi="Times New Roman"/>
                          <w:sz w:val="20"/>
                          <w:szCs w:val="20"/>
                        </w:rPr>
                        <w:t>оянных ценах на одного занятого, а в</w:t>
                      </w:r>
                      <w:r w:rsidRPr="00750638">
                        <w:rPr>
                          <w:rFonts w:ascii="Times New Roman" w:hAnsi="Times New Roman"/>
                          <w:sz w:val="20"/>
                          <w:szCs w:val="20"/>
                        </w:rPr>
                        <w:t xml:space="preserve"> качестве объясняющих переменных используются следующие показатели</w:t>
                      </w:r>
                      <w:r>
                        <w:rPr>
                          <w:rFonts w:ascii="Times New Roman" w:hAnsi="Times New Roman"/>
                          <w:sz w:val="20"/>
                          <w:szCs w:val="20"/>
                        </w:rPr>
                        <w:t>:</w:t>
                      </w:r>
                    </w:p>
                    <w:p w:rsidR="003A7132" w:rsidRDefault="003A7132" w:rsidP="006A22F2">
                      <w:pPr>
                        <w:pStyle w:val="aa"/>
                        <w:numPr>
                          <w:ilvl w:val="0"/>
                          <w:numId w:val="13"/>
                        </w:numPr>
                        <w:spacing w:before="120" w:after="120"/>
                        <w:ind w:left="624" w:hanging="624"/>
                        <w:contextualSpacing w:val="0"/>
                        <w:jc w:val="both"/>
                        <w:rPr>
                          <w:rFonts w:ascii="Times New Roman" w:hAnsi="Times New Roman"/>
                          <w:sz w:val="20"/>
                          <w:szCs w:val="20"/>
                        </w:rPr>
                      </w:pPr>
                      <w:r w:rsidRPr="00054632">
                        <w:rPr>
                          <w:rFonts w:ascii="Times New Roman" w:hAnsi="Times New Roman"/>
                          <w:sz w:val="20"/>
                          <w:szCs w:val="20"/>
                        </w:rPr>
                        <w:t>отношение инвестиций в основной капитал к ВВП</w:t>
                      </w:r>
                      <w:r>
                        <w:rPr>
                          <w:rFonts w:ascii="Times New Roman" w:hAnsi="Times New Roman"/>
                          <w:sz w:val="20"/>
                          <w:szCs w:val="20"/>
                        </w:rPr>
                        <w:t xml:space="preserve"> / </w:t>
                      </w:r>
                      <w:r w:rsidRPr="00054632">
                        <w:rPr>
                          <w:rFonts w:ascii="Times New Roman" w:hAnsi="Times New Roman"/>
                          <w:sz w:val="20"/>
                          <w:szCs w:val="20"/>
                        </w:rPr>
                        <w:t>оценка прироста основных средств;</w:t>
                      </w:r>
                    </w:p>
                    <w:p w:rsidR="003A7132" w:rsidRDefault="003A7132" w:rsidP="006A22F2">
                      <w:pPr>
                        <w:pStyle w:val="aa"/>
                        <w:numPr>
                          <w:ilvl w:val="0"/>
                          <w:numId w:val="13"/>
                        </w:numPr>
                        <w:spacing w:before="120" w:after="120"/>
                        <w:ind w:left="624" w:hanging="624"/>
                        <w:contextualSpacing w:val="0"/>
                        <w:jc w:val="both"/>
                        <w:rPr>
                          <w:rFonts w:ascii="Times New Roman" w:hAnsi="Times New Roman"/>
                          <w:sz w:val="20"/>
                          <w:szCs w:val="20"/>
                        </w:rPr>
                      </w:pPr>
                      <w:r w:rsidRPr="00054632">
                        <w:rPr>
                          <w:rFonts w:ascii="Times New Roman" w:hAnsi="Times New Roman"/>
                          <w:sz w:val="20"/>
                          <w:szCs w:val="20"/>
                        </w:rPr>
                        <w:t>изменение</w:t>
                      </w:r>
                      <w:r>
                        <w:rPr>
                          <w:rFonts w:ascii="Times New Roman" w:hAnsi="Times New Roman"/>
                          <w:sz w:val="20"/>
                          <w:szCs w:val="20"/>
                        </w:rPr>
                        <w:t xml:space="preserve"> условий торговли;</w:t>
                      </w:r>
                    </w:p>
                    <w:p w:rsidR="003A7132" w:rsidRDefault="003A7132" w:rsidP="006A22F2">
                      <w:pPr>
                        <w:pStyle w:val="aa"/>
                        <w:numPr>
                          <w:ilvl w:val="0"/>
                          <w:numId w:val="13"/>
                        </w:numPr>
                        <w:spacing w:before="120" w:after="120"/>
                        <w:ind w:left="624" w:hanging="624"/>
                        <w:contextualSpacing w:val="0"/>
                        <w:jc w:val="both"/>
                        <w:rPr>
                          <w:rFonts w:ascii="Times New Roman" w:hAnsi="Times New Roman"/>
                          <w:sz w:val="20"/>
                          <w:szCs w:val="20"/>
                        </w:rPr>
                      </w:pPr>
                      <w:r w:rsidRPr="00B64C98">
                        <w:rPr>
                          <w:rFonts w:ascii="Times New Roman" w:hAnsi="Times New Roman"/>
                          <w:sz w:val="20"/>
                          <w:szCs w:val="20"/>
                        </w:rPr>
                        <w:t>отношение бюджетных расходов к ВВП;</w:t>
                      </w:r>
                    </w:p>
                    <w:p w:rsidR="003A7132" w:rsidRPr="00B64C98" w:rsidRDefault="003A7132" w:rsidP="006A22F2">
                      <w:pPr>
                        <w:pStyle w:val="aa"/>
                        <w:numPr>
                          <w:ilvl w:val="0"/>
                          <w:numId w:val="13"/>
                        </w:numPr>
                        <w:spacing w:before="120" w:after="120"/>
                        <w:ind w:left="624" w:hanging="624"/>
                        <w:contextualSpacing w:val="0"/>
                        <w:jc w:val="both"/>
                        <w:rPr>
                          <w:rFonts w:ascii="Times New Roman" w:hAnsi="Times New Roman"/>
                          <w:sz w:val="20"/>
                          <w:szCs w:val="20"/>
                        </w:rPr>
                      </w:pPr>
                      <w:r w:rsidRPr="00B64C98">
                        <w:rPr>
                          <w:rFonts w:ascii="Times New Roman" w:hAnsi="Times New Roman"/>
                          <w:sz w:val="20"/>
                          <w:szCs w:val="20"/>
                        </w:rPr>
                        <w:t>отклонение уровня ВВП по ППС страны от среднего по выборке уровня</w:t>
                      </w:r>
                    </w:p>
                  </w:txbxContent>
                </v:textbox>
                <w10:wrap type="square" anchorx="margin"/>
              </v:shape>
            </w:pict>
          </mc:Fallback>
        </mc:AlternateContent>
      </w:r>
      <w:r w:rsidRPr="00B64C98">
        <w:rPr>
          <w:rFonts w:ascii="Times New Roman" w:hAnsi="Times New Roman"/>
          <w:sz w:val="24"/>
          <w:szCs w:val="24"/>
        </w:rPr>
        <w:t xml:space="preserve">Инвестиционная активность сдерживается в силу факторов ограничивающих, как (1) </w:t>
      </w:r>
      <w:r w:rsidRPr="00B64C98">
        <w:rPr>
          <w:rFonts w:ascii="Times New Roman" w:hAnsi="Times New Roman"/>
          <w:b/>
          <w:sz w:val="24"/>
          <w:szCs w:val="24"/>
        </w:rPr>
        <w:t>желание инвестировать</w:t>
      </w:r>
      <w:r w:rsidRPr="00B64C98">
        <w:rPr>
          <w:rFonts w:ascii="Times New Roman" w:hAnsi="Times New Roman"/>
          <w:sz w:val="24"/>
          <w:szCs w:val="24"/>
        </w:rPr>
        <w:t xml:space="preserve">: соотношение доходность/риски, так и (2) </w:t>
      </w:r>
      <w:r w:rsidRPr="00B64C98">
        <w:rPr>
          <w:rFonts w:ascii="Times New Roman" w:hAnsi="Times New Roman"/>
          <w:b/>
          <w:sz w:val="24"/>
          <w:szCs w:val="24"/>
        </w:rPr>
        <w:t>возможность инвестировать</w:t>
      </w:r>
      <w:r w:rsidRPr="00B64C98">
        <w:rPr>
          <w:rFonts w:ascii="Times New Roman" w:hAnsi="Times New Roman"/>
          <w:sz w:val="24"/>
          <w:szCs w:val="24"/>
        </w:rPr>
        <w:t xml:space="preserve">: наличие ресурсов (капитал, труд, технологии) и уровень конкуренции (барьеры на вход/выход, неформальный сектор). Кроме того, в связи с тем, что в структуре капиталовложений (3) </w:t>
      </w:r>
      <w:r w:rsidRPr="00B64C98">
        <w:rPr>
          <w:rFonts w:ascii="Times New Roman" w:hAnsi="Times New Roman"/>
          <w:b/>
          <w:sz w:val="24"/>
          <w:szCs w:val="24"/>
        </w:rPr>
        <w:t>высока доля неэффективных инвестиций</w:t>
      </w:r>
      <w:r w:rsidRPr="00B64C98">
        <w:rPr>
          <w:rFonts w:ascii="Times New Roman" w:hAnsi="Times New Roman"/>
          <w:sz w:val="24"/>
          <w:szCs w:val="24"/>
        </w:rPr>
        <w:t xml:space="preserve"> – то есть инвестиционных проектов с низкой или</w:t>
      </w:r>
      <w:r>
        <w:rPr>
          <w:rFonts w:ascii="Times New Roman" w:hAnsi="Times New Roman"/>
          <w:sz w:val="24"/>
          <w:szCs w:val="24"/>
        </w:rPr>
        <w:t xml:space="preserve"> отрицательной рентабельностью </w:t>
      </w:r>
      <w:r w:rsidRPr="00B64C98">
        <w:rPr>
          <w:rFonts w:ascii="Times New Roman" w:hAnsi="Times New Roman"/>
          <w:sz w:val="24"/>
          <w:szCs w:val="24"/>
        </w:rPr>
        <w:t xml:space="preserve">– приведенная выше оценка долгосрочных темпов роста ВВП на одного работника может оказаться </w:t>
      </w:r>
      <w:r w:rsidR="00DB29F1">
        <w:rPr>
          <w:rFonts w:ascii="Times New Roman" w:hAnsi="Times New Roman"/>
          <w:sz w:val="24"/>
          <w:szCs w:val="24"/>
        </w:rPr>
        <w:t>завышенной</w:t>
      </w:r>
      <w:r w:rsidRPr="00B64C98">
        <w:rPr>
          <w:rFonts w:ascii="Times New Roman" w:hAnsi="Times New Roman"/>
          <w:sz w:val="24"/>
          <w:szCs w:val="24"/>
        </w:rPr>
        <w:t>.</w:t>
      </w:r>
    </w:p>
    <w:p w:rsidR="00B64C98" w:rsidRDefault="00B64C98" w:rsidP="00B64C98">
      <w:pPr>
        <w:spacing w:before="120" w:after="120"/>
        <w:jc w:val="both"/>
        <w:rPr>
          <w:rFonts w:ascii="Times New Roman" w:hAnsi="Times New Roman"/>
          <w:sz w:val="24"/>
          <w:szCs w:val="24"/>
        </w:rPr>
      </w:pPr>
    </w:p>
    <w:p w:rsidR="005758A0" w:rsidRDefault="00B64C98" w:rsidP="005758A0">
      <w:pPr>
        <w:spacing w:before="120" w:after="120"/>
        <w:jc w:val="both"/>
        <w:rPr>
          <w:rFonts w:ascii="Times New Roman" w:hAnsi="Times New Roman"/>
          <w:sz w:val="24"/>
          <w:szCs w:val="24"/>
        </w:rPr>
      </w:pPr>
      <w:r w:rsidRPr="00711F0F">
        <w:rPr>
          <w:rFonts w:ascii="Times New Roman" w:hAnsi="Times New Roman"/>
          <w:noProof/>
          <w:sz w:val="24"/>
          <w:szCs w:val="24"/>
          <w:u w:val="single"/>
          <w:lang w:eastAsia="ru-RU"/>
        </w:rPr>
        <mc:AlternateContent>
          <mc:Choice Requires="wps">
            <w:drawing>
              <wp:anchor distT="45720" distB="45720" distL="114300" distR="114300" simplePos="0" relativeHeight="251673088" behindDoc="0" locked="0" layoutInCell="1" allowOverlap="1" wp14:anchorId="7E7BEF8D" wp14:editId="73A1F46C">
                <wp:simplePos x="0" y="0"/>
                <wp:positionH relativeFrom="margin">
                  <wp:align>left</wp:align>
                </wp:positionH>
                <wp:positionV relativeFrom="paragraph">
                  <wp:posOffset>1270</wp:posOffset>
                </wp:positionV>
                <wp:extent cx="5764530" cy="5852160"/>
                <wp:effectExtent l="0" t="0" r="7620" b="0"/>
                <wp:wrapSquare wrapText="bothSides"/>
                <wp:docPr id="13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5852160"/>
                        </a:xfrm>
                        <a:prstGeom prst="rect">
                          <a:avLst/>
                        </a:prstGeom>
                        <a:solidFill>
                          <a:schemeClr val="bg1">
                            <a:lumMod val="95000"/>
                          </a:schemeClr>
                        </a:solidFill>
                        <a:ln w="9525">
                          <a:noFill/>
                          <a:miter lim="800000"/>
                          <a:headEnd/>
                          <a:tailEnd/>
                        </a:ln>
                      </wps:spPr>
                      <wps:txbx>
                        <w:txbxContent>
                          <w:tbl>
                            <w:tblPr>
                              <w:tblStyle w:val="Smalltable"/>
                              <w:tblW w:w="6188" w:type="dxa"/>
                              <w:tblInd w:w="1309" w:type="dxa"/>
                              <w:tblLook w:val="04A0" w:firstRow="1" w:lastRow="0" w:firstColumn="1" w:lastColumn="0" w:noHBand="0" w:noVBand="1"/>
                            </w:tblPr>
                            <w:tblGrid>
                              <w:gridCol w:w="6126"/>
                              <w:gridCol w:w="62"/>
                            </w:tblGrid>
                            <w:tr w:rsidR="003A7132" w:rsidRPr="00E65DE3" w:rsidTr="005A0337">
                              <w:trPr>
                                <w:gridAfter w:val="1"/>
                                <w:wAfter w:w="62" w:type="dxa"/>
                                <w:trHeight w:val="198"/>
                              </w:trPr>
                              <w:tc>
                                <w:tcPr>
                                  <w:tcW w:w="6126" w:type="dxa"/>
                                  <w:shd w:val="clear" w:color="auto" w:fill="auto"/>
                                </w:tcPr>
                                <w:p w:rsidR="003A7132" w:rsidRPr="00235B64" w:rsidRDefault="003A7132" w:rsidP="00ED0C00">
                                  <w:pPr>
                                    <w:pStyle w:val="GraphTitle"/>
                                    <w:rPr>
                                      <w:rFonts w:ascii="Times New Roman" w:hAnsi="Times New Roman" w:cs="Times New Roman"/>
                                      <w:b/>
                                      <w:sz w:val="20"/>
                                      <w:szCs w:val="20"/>
                                      <w:lang w:val="ru-RU"/>
                                    </w:rPr>
                                  </w:pPr>
                                  <w:r w:rsidRPr="00235B64">
                                    <w:rPr>
                                      <w:rFonts w:ascii="Times New Roman" w:hAnsi="Times New Roman" w:cs="Times New Roman"/>
                                      <w:b/>
                                      <w:sz w:val="20"/>
                                      <w:szCs w:val="20"/>
                                      <w:lang w:val="ru-RU"/>
                                    </w:rPr>
                                    <w:t>Долгосрочные темпы роста и инвестиции</w:t>
                                  </w:r>
                                </w:p>
                              </w:tc>
                            </w:tr>
                            <w:tr w:rsidR="003A7132" w:rsidRPr="00E65DE3" w:rsidTr="005A0337">
                              <w:trPr>
                                <w:trHeight w:hRule="exact" w:val="28"/>
                              </w:trPr>
                              <w:tc>
                                <w:tcPr>
                                  <w:tcW w:w="6126" w:type="dxa"/>
                                  <w:tcBorders>
                                    <w:bottom w:val="single" w:sz="4" w:space="0" w:color="auto"/>
                                  </w:tcBorders>
                                  <w:shd w:val="clear" w:color="auto" w:fill="auto"/>
                                </w:tcPr>
                                <w:p w:rsidR="003A7132" w:rsidRPr="00E65DE3" w:rsidRDefault="003A7132" w:rsidP="00ED0C00">
                                  <w:pPr>
                                    <w:pStyle w:val="TabText"/>
                                    <w:rPr>
                                      <w:rFonts w:ascii="Times New Roman" w:hAnsi="Times New Roman" w:cs="Times New Roman"/>
                                      <w:lang w:val="ru-RU"/>
                                    </w:rPr>
                                  </w:pPr>
                                </w:p>
                              </w:tc>
                              <w:tc>
                                <w:tcPr>
                                  <w:tcW w:w="62" w:type="dxa"/>
                                  <w:shd w:val="clear" w:color="auto" w:fill="auto"/>
                                </w:tcPr>
                                <w:p w:rsidR="003A7132" w:rsidRPr="00E65DE3" w:rsidRDefault="003A7132" w:rsidP="00ED0C00">
                                  <w:pPr>
                                    <w:pStyle w:val="TabText"/>
                                    <w:rPr>
                                      <w:rFonts w:ascii="Times New Roman" w:hAnsi="Times New Roman" w:cs="Times New Roman"/>
                                      <w:lang w:val="ru-RU"/>
                                    </w:rPr>
                                  </w:pPr>
                                </w:p>
                              </w:tc>
                            </w:tr>
                            <w:tr w:rsidR="003A7132" w:rsidRPr="00E65DE3" w:rsidTr="005A0337">
                              <w:tblPrEx>
                                <w:tblCellMar>
                                  <w:left w:w="108" w:type="dxa"/>
                                  <w:right w:w="108" w:type="dxa"/>
                                </w:tblCellMar>
                              </w:tblPrEx>
                              <w:trPr>
                                <w:gridAfter w:val="1"/>
                                <w:wAfter w:w="62" w:type="dxa"/>
                                <w:trHeight w:val="2200"/>
                              </w:trPr>
                              <w:tc>
                                <w:tcPr>
                                  <w:tcW w:w="6126" w:type="dxa"/>
                                  <w:tcBorders>
                                    <w:top w:val="single" w:sz="4" w:space="0" w:color="auto"/>
                                    <w:bottom w:val="single" w:sz="4" w:space="0" w:color="auto"/>
                                  </w:tcBorders>
                                  <w:shd w:val="clear" w:color="auto" w:fill="auto"/>
                                  <w:tcMar>
                                    <w:left w:w="0" w:type="nil"/>
                                    <w:right w:w="0" w:type="nil"/>
                                  </w:tcMar>
                                </w:tcPr>
                                <w:p w:rsidR="003A7132" w:rsidRPr="00E65DE3" w:rsidRDefault="003A7132" w:rsidP="00ED0C00">
                                  <w:pPr>
                                    <w:pStyle w:val="TabText"/>
                                    <w:rPr>
                                      <w:rFonts w:ascii="Times New Roman" w:hAnsi="Times New Roman" w:cs="Times New Roman"/>
                                      <w:lang w:val="ru-RU"/>
                                    </w:rPr>
                                  </w:pPr>
                                  <w:r w:rsidRPr="003E2F41">
                                    <w:rPr>
                                      <w:rFonts w:ascii="Times New Roman" w:hAnsi="Times New Roman" w:cs="Times New Roman"/>
                                      <w:noProof/>
                                      <w:lang w:val="ru-RU" w:bidi="ar-SA"/>
                                    </w:rPr>
                                    <w:drawing>
                                      <wp:inline distT="0" distB="0" distL="0" distR="0" wp14:anchorId="3CBC697B" wp14:editId="232758D8">
                                        <wp:extent cx="3753135" cy="3166977"/>
                                        <wp:effectExtent l="0" t="0" r="0" b="0"/>
                                        <wp:docPr id="13" name="Диаграмма 10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A7132" w:rsidRPr="00E65DE3" w:rsidTr="005A0337">
                              <w:trPr>
                                <w:gridAfter w:val="1"/>
                                <w:wAfter w:w="62" w:type="dxa"/>
                                <w:trHeight w:val="198"/>
                              </w:trPr>
                              <w:tc>
                                <w:tcPr>
                                  <w:tcW w:w="6126" w:type="dxa"/>
                                  <w:tcBorders>
                                    <w:top w:val="single" w:sz="4" w:space="0" w:color="auto"/>
                                  </w:tcBorders>
                                  <w:shd w:val="clear" w:color="auto" w:fill="auto"/>
                                </w:tcPr>
                                <w:p w:rsidR="003A7132" w:rsidRPr="00235B64" w:rsidRDefault="003A7132" w:rsidP="00ED0C00">
                                  <w:pPr>
                                    <w:pStyle w:val="SourceLarge"/>
                                    <w:spacing w:after="240"/>
                                    <w:rPr>
                                      <w:rFonts w:ascii="Times New Roman" w:hAnsi="Times New Roman" w:cs="Times New Roman"/>
                                      <w:i/>
                                      <w:lang w:val="ru-RU"/>
                                    </w:rPr>
                                  </w:pPr>
                                  <w:r w:rsidRPr="00235B64">
                                    <w:rPr>
                                      <w:rFonts w:ascii="Times New Roman" w:hAnsi="Times New Roman" w:cs="Times New Roman"/>
                                      <w:i/>
                                      <w:sz w:val="14"/>
                                      <w:szCs w:val="14"/>
                                      <w:lang w:val="ru-RU"/>
                                    </w:rPr>
                                    <w:t>Источник:</w:t>
                                  </w:r>
                                  <w:r w:rsidRPr="003633FC">
                                    <w:rPr>
                                      <w:rFonts w:ascii="Times New Roman" w:hAnsi="Times New Roman" w:cs="Times New Roman"/>
                                      <w:i/>
                                      <w:sz w:val="14"/>
                                      <w:szCs w:val="14"/>
                                    </w:rPr>
                                    <w:t> </w:t>
                                  </w:r>
                                  <w:r>
                                    <w:rPr>
                                      <w:rFonts w:ascii="Times New Roman" w:hAnsi="Times New Roman" w:cs="Times New Roman"/>
                                      <w:i/>
                                      <w:sz w:val="14"/>
                                      <w:szCs w:val="14"/>
                                      <w:lang w:val="ru-RU"/>
                                    </w:rPr>
                                    <w:t>МВФ</w:t>
                                  </w:r>
                                  <w:r w:rsidRPr="00235B64">
                                    <w:rPr>
                                      <w:rFonts w:ascii="Times New Roman" w:hAnsi="Times New Roman" w:cs="Times New Roman"/>
                                      <w:i/>
                                      <w:sz w:val="14"/>
                                      <w:szCs w:val="14"/>
                                      <w:lang w:val="ru-RU"/>
                                    </w:rPr>
                                    <w:t xml:space="preserve">, </w:t>
                                  </w:r>
                                  <w:r w:rsidRPr="00235B64">
                                    <w:rPr>
                                      <w:rFonts w:ascii="Times New Roman" w:hAnsi="Times New Roman" w:cs="Times New Roman"/>
                                      <w:i/>
                                      <w:sz w:val="14"/>
                                      <w:szCs w:val="14"/>
                                      <w:lang w:val="en-US"/>
                                    </w:rPr>
                                    <w:t>Penn</w:t>
                                  </w:r>
                                  <w:r w:rsidRPr="00235B64">
                                    <w:rPr>
                                      <w:rFonts w:ascii="Times New Roman" w:hAnsi="Times New Roman" w:cs="Times New Roman"/>
                                      <w:i/>
                                      <w:sz w:val="14"/>
                                      <w:szCs w:val="14"/>
                                      <w:lang w:val="ru-RU"/>
                                    </w:rPr>
                                    <w:t xml:space="preserve"> </w:t>
                                  </w:r>
                                  <w:r w:rsidRPr="00235B64">
                                    <w:rPr>
                                      <w:rFonts w:ascii="Times New Roman" w:hAnsi="Times New Roman" w:cs="Times New Roman"/>
                                      <w:i/>
                                      <w:sz w:val="14"/>
                                      <w:szCs w:val="14"/>
                                      <w:lang w:val="en-US"/>
                                    </w:rPr>
                                    <w:t>World</w:t>
                                  </w:r>
                                  <w:r w:rsidRPr="00235B64">
                                    <w:rPr>
                                      <w:rFonts w:ascii="Times New Roman" w:hAnsi="Times New Roman" w:cs="Times New Roman"/>
                                      <w:i/>
                                      <w:sz w:val="14"/>
                                      <w:szCs w:val="14"/>
                                      <w:lang w:val="ru-RU"/>
                                    </w:rPr>
                                    <w:t xml:space="preserve"> </w:t>
                                  </w:r>
                                  <w:r w:rsidRPr="00235B64">
                                    <w:rPr>
                                      <w:rFonts w:ascii="Times New Roman" w:hAnsi="Times New Roman" w:cs="Times New Roman"/>
                                      <w:i/>
                                      <w:sz w:val="14"/>
                                      <w:szCs w:val="14"/>
                                      <w:lang w:val="en-US"/>
                                    </w:rPr>
                                    <w:t>Tables</w:t>
                                  </w:r>
                                  <w:r>
                                    <w:rPr>
                                      <w:rFonts w:ascii="Times New Roman" w:hAnsi="Times New Roman" w:cs="Times New Roman"/>
                                      <w:i/>
                                      <w:sz w:val="14"/>
                                      <w:szCs w:val="14"/>
                                      <w:lang w:val="ru-RU"/>
                                    </w:rPr>
                                    <w:t>, оценки Минфина</w:t>
                                  </w:r>
                                </w:p>
                              </w:tc>
                            </w:tr>
                          </w:tbl>
                          <w:p w:rsidR="003A7132" w:rsidRPr="00493EC5" w:rsidRDefault="003A7132" w:rsidP="00B64C98">
                            <w:pPr>
                              <w:spacing w:before="120" w:after="120"/>
                              <w:jc w:val="both"/>
                              <w:rPr>
                                <w:rFonts w:ascii="Times New Roman" w:hAnsi="Times New Roman"/>
                                <w:sz w:val="20"/>
                                <w:szCs w:val="20"/>
                              </w:rPr>
                            </w:pPr>
                            <w:r w:rsidRPr="0002076E">
                              <w:rPr>
                                <w:rFonts w:ascii="Times New Roman" w:hAnsi="Times New Roman"/>
                                <w:sz w:val="20"/>
                                <w:szCs w:val="20"/>
                              </w:rPr>
                              <w:t>Полученные оценки соответствуют априорным ожиданиям и экономической логике</w:t>
                            </w:r>
                            <w:r>
                              <w:rPr>
                                <w:rFonts w:ascii="Times New Roman" w:hAnsi="Times New Roman"/>
                                <w:sz w:val="20"/>
                                <w:szCs w:val="20"/>
                              </w:rPr>
                              <w:t xml:space="preserve">. </w:t>
                            </w:r>
                            <w:r w:rsidRPr="00493EC5">
                              <w:rPr>
                                <w:rFonts w:ascii="Times New Roman" w:hAnsi="Times New Roman"/>
                                <w:sz w:val="20"/>
                                <w:szCs w:val="20"/>
                              </w:rPr>
                              <w:t xml:space="preserve">Чувствительность роста реального выпуска на одного занятого к доле инвестиций к ВВП устойчиво положительна и принимает значения в диапазоне 0,15-0,17. </w:t>
                            </w:r>
                            <w:r>
                              <w:rPr>
                                <w:rFonts w:ascii="Times New Roman" w:hAnsi="Times New Roman"/>
                                <w:sz w:val="20"/>
                                <w:szCs w:val="20"/>
                              </w:rPr>
                              <w:t xml:space="preserve">Для учета </w:t>
                            </w:r>
                            <w:r w:rsidRPr="00493EC5">
                              <w:rPr>
                                <w:rFonts w:ascii="Times New Roman" w:hAnsi="Times New Roman"/>
                                <w:sz w:val="20"/>
                                <w:szCs w:val="20"/>
                              </w:rPr>
                              <w:t>эффект</w:t>
                            </w:r>
                            <w:r>
                              <w:rPr>
                                <w:rFonts w:ascii="Times New Roman" w:hAnsi="Times New Roman"/>
                                <w:sz w:val="20"/>
                                <w:szCs w:val="20"/>
                              </w:rPr>
                              <w:t>а</w:t>
                            </w:r>
                            <w:r w:rsidRPr="00493EC5">
                              <w:rPr>
                                <w:rFonts w:ascii="Times New Roman" w:hAnsi="Times New Roman"/>
                                <w:sz w:val="20"/>
                                <w:szCs w:val="20"/>
                              </w:rPr>
                              <w:t xml:space="preserve"> догоняющего развития, когда экономики со сравнительно низким доходом на душу </w:t>
                            </w:r>
                            <w:r>
                              <w:rPr>
                                <w:rFonts w:ascii="Times New Roman" w:hAnsi="Times New Roman"/>
                                <w:sz w:val="20"/>
                                <w:szCs w:val="20"/>
                              </w:rPr>
                              <w:t xml:space="preserve">населения </w:t>
                            </w:r>
                            <w:r w:rsidRPr="00493EC5">
                              <w:rPr>
                                <w:rFonts w:ascii="Times New Roman" w:hAnsi="Times New Roman"/>
                                <w:sz w:val="20"/>
                                <w:szCs w:val="20"/>
                              </w:rPr>
                              <w:t>испытывают повышенный рост за счет импорта технологий из-за рубежа</w:t>
                            </w:r>
                            <w:r>
                              <w:rPr>
                                <w:rFonts w:ascii="Times New Roman" w:hAnsi="Times New Roman"/>
                                <w:sz w:val="20"/>
                                <w:szCs w:val="20"/>
                              </w:rPr>
                              <w:t>,</w:t>
                            </w:r>
                            <w:r w:rsidRPr="00493EC5">
                              <w:rPr>
                                <w:rFonts w:ascii="Times New Roman" w:hAnsi="Times New Roman"/>
                                <w:sz w:val="20"/>
                                <w:szCs w:val="20"/>
                              </w:rPr>
                              <w:t xml:space="preserve"> </w:t>
                            </w:r>
                            <w:r>
                              <w:rPr>
                                <w:rFonts w:ascii="Times New Roman" w:hAnsi="Times New Roman"/>
                                <w:sz w:val="20"/>
                                <w:szCs w:val="20"/>
                              </w:rPr>
                              <w:t xml:space="preserve">в модель был </w:t>
                            </w:r>
                            <w:r w:rsidRPr="00493EC5">
                              <w:rPr>
                                <w:rFonts w:ascii="Times New Roman" w:hAnsi="Times New Roman"/>
                                <w:sz w:val="20"/>
                                <w:szCs w:val="20"/>
                              </w:rPr>
                              <w:t>включ</w:t>
                            </w:r>
                            <w:r>
                              <w:rPr>
                                <w:rFonts w:ascii="Times New Roman" w:hAnsi="Times New Roman"/>
                                <w:sz w:val="20"/>
                                <w:szCs w:val="20"/>
                              </w:rPr>
                              <w:t>ен</w:t>
                            </w:r>
                            <w:r w:rsidRPr="00493EC5">
                              <w:rPr>
                                <w:rFonts w:ascii="Times New Roman" w:hAnsi="Times New Roman"/>
                                <w:sz w:val="20"/>
                                <w:szCs w:val="20"/>
                              </w:rPr>
                              <w:t xml:space="preserve"> </w:t>
                            </w:r>
                            <w:r>
                              <w:rPr>
                                <w:rFonts w:ascii="Times New Roman" w:hAnsi="Times New Roman"/>
                                <w:sz w:val="20"/>
                                <w:szCs w:val="20"/>
                              </w:rPr>
                              <w:t xml:space="preserve">показатель </w:t>
                            </w:r>
                            <w:r w:rsidRPr="00493EC5">
                              <w:rPr>
                                <w:rFonts w:ascii="Times New Roman" w:hAnsi="Times New Roman"/>
                                <w:sz w:val="20"/>
                                <w:szCs w:val="20"/>
                              </w:rPr>
                              <w:t>отклонени</w:t>
                            </w:r>
                            <w:r>
                              <w:rPr>
                                <w:rFonts w:ascii="Times New Roman" w:hAnsi="Times New Roman"/>
                                <w:sz w:val="20"/>
                                <w:szCs w:val="20"/>
                              </w:rPr>
                              <w:t>я</w:t>
                            </w:r>
                            <w:r w:rsidRPr="00493EC5">
                              <w:rPr>
                                <w:rFonts w:ascii="Times New Roman" w:hAnsi="Times New Roman"/>
                                <w:sz w:val="20"/>
                                <w:szCs w:val="20"/>
                              </w:rPr>
                              <w:t xml:space="preserve"> валового выпуска по паритету покупательной способности на душу </w:t>
                            </w:r>
                            <w:r>
                              <w:rPr>
                                <w:rFonts w:ascii="Times New Roman" w:hAnsi="Times New Roman"/>
                                <w:sz w:val="20"/>
                                <w:szCs w:val="20"/>
                              </w:rPr>
                              <w:t xml:space="preserve">населения </w:t>
                            </w:r>
                            <w:r w:rsidRPr="00493EC5">
                              <w:rPr>
                                <w:rFonts w:ascii="Times New Roman" w:hAnsi="Times New Roman"/>
                                <w:sz w:val="20"/>
                                <w:szCs w:val="20"/>
                              </w:rPr>
                              <w:t>от среднего по выборке стран. Ожидаемо более</w:t>
                            </w:r>
                            <w:r>
                              <w:rPr>
                                <w:rFonts w:ascii="Times New Roman" w:hAnsi="Times New Roman"/>
                                <w:sz w:val="20"/>
                                <w:szCs w:val="20"/>
                              </w:rPr>
                              <w:t xml:space="preserve"> низкий</w:t>
                            </w:r>
                            <w:r w:rsidRPr="00493EC5">
                              <w:rPr>
                                <w:rFonts w:ascii="Times New Roman" w:hAnsi="Times New Roman"/>
                                <w:sz w:val="20"/>
                                <w:szCs w:val="20"/>
                              </w:rPr>
                              <w:t xml:space="preserve"> уровень доходов ассоциируется с </w:t>
                            </w:r>
                            <w:r>
                              <w:rPr>
                                <w:rFonts w:ascii="Times New Roman" w:hAnsi="Times New Roman"/>
                                <w:sz w:val="20"/>
                                <w:szCs w:val="20"/>
                              </w:rPr>
                              <w:t>более</w:t>
                            </w:r>
                            <w:r w:rsidRPr="00493EC5">
                              <w:rPr>
                                <w:rFonts w:ascii="Times New Roman" w:hAnsi="Times New Roman"/>
                                <w:sz w:val="20"/>
                                <w:szCs w:val="20"/>
                              </w:rPr>
                              <w:t xml:space="preserve"> высоким ростом производительности, диапазон значение этого параметра составил -0,04 - -0,01.</w:t>
                            </w:r>
                          </w:p>
                          <w:p w:rsidR="003A7132" w:rsidRPr="0031498D" w:rsidRDefault="003A7132" w:rsidP="00B64C98">
                            <w:pPr>
                              <w:spacing w:before="120" w:after="120"/>
                              <w:jc w:val="both"/>
                              <w:rPr>
                                <w:rFonts w:ascii="Times New Roman" w:hAnsi="Times New Roman"/>
                                <w:sz w:val="20"/>
                                <w:szCs w:val="20"/>
                              </w:rPr>
                            </w:pPr>
                            <w:r w:rsidRPr="00493EC5">
                              <w:rPr>
                                <w:rFonts w:ascii="Times New Roman" w:hAnsi="Times New Roman"/>
                                <w:sz w:val="20"/>
                                <w:szCs w:val="20"/>
                              </w:rPr>
                              <w:t>Другим фактором, оказывающим значительное</w:t>
                            </w:r>
                            <w:r>
                              <w:rPr>
                                <w:rFonts w:ascii="Times New Roman" w:hAnsi="Times New Roman"/>
                                <w:sz w:val="20"/>
                                <w:szCs w:val="20"/>
                              </w:rPr>
                              <w:t xml:space="preserve">, но на этот раз сдерживающее, </w:t>
                            </w:r>
                            <w:r w:rsidRPr="00493EC5">
                              <w:rPr>
                                <w:rFonts w:ascii="Times New Roman" w:hAnsi="Times New Roman"/>
                                <w:sz w:val="20"/>
                                <w:szCs w:val="20"/>
                              </w:rPr>
                              <w:t>влияние на рост производительности труда, оказалась доля потребления государства в ВВП. При росте этого показателя на 1п</w:t>
                            </w:r>
                            <w:r>
                              <w:rPr>
                                <w:rFonts w:ascii="Times New Roman" w:hAnsi="Times New Roman"/>
                                <w:sz w:val="20"/>
                                <w:szCs w:val="20"/>
                              </w:rPr>
                              <w:t>.</w:t>
                            </w:r>
                            <w:r w:rsidRPr="00493EC5">
                              <w:rPr>
                                <w:rFonts w:ascii="Times New Roman" w:hAnsi="Times New Roman"/>
                                <w:sz w:val="20"/>
                                <w:szCs w:val="20"/>
                              </w:rPr>
                              <w:t>п</w:t>
                            </w:r>
                            <w:r>
                              <w:rPr>
                                <w:rFonts w:ascii="Times New Roman" w:hAnsi="Times New Roman"/>
                                <w:sz w:val="20"/>
                                <w:szCs w:val="20"/>
                              </w:rPr>
                              <w:t>.</w:t>
                            </w:r>
                            <w:r w:rsidRPr="00493EC5">
                              <w:rPr>
                                <w:rFonts w:ascii="Times New Roman" w:hAnsi="Times New Roman"/>
                                <w:sz w:val="20"/>
                                <w:szCs w:val="20"/>
                              </w:rPr>
                              <w:t xml:space="preserve"> в </w:t>
                            </w:r>
                            <w:r>
                              <w:rPr>
                                <w:rFonts w:ascii="Times New Roman" w:hAnsi="Times New Roman"/>
                                <w:sz w:val="20"/>
                                <w:szCs w:val="20"/>
                              </w:rPr>
                              <w:t xml:space="preserve">представленной </w:t>
                            </w:r>
                            <w:r w:rsidRPr="00493EC5">
                              <w:rPr>
                                <w:rFonts w:ascii="Times New Roman" w:hAnsi="Times New Roman"/>
                                <w:sz w:val="20"/>
                                <w:szCs w:val="20"/>
                              </w:rPr>
                              <w:t>выборке рост замедлялся на -0,46</w:t>
                            </w:r>
                            <w:r>
                              <w:rPr>
                                <w:rFonts w:ascii="Times New Roman" w:hAnsi="Times New Roman"/>
                                <w:sz w:val="20"/>
                                <w:szCs w:val="20"/>
                              </w:rPr>
                              <w:t xml:space="preserve"> - -0,50п.п.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1pt;width:453.9pt;height:460.8pt;z-index:251673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" fillcolor="#f2f2f2 [3052]" stroked="f">
                <v:textbox>
                  <w:txbxContent>
                    <w:tbl>
                      <w:tblPr>
                        <w:tblStyle w:val="Smalltable"/>
                        <w:tblW w:w="6188" w:type="dxa"/>
                        <w:tblInd w:w="1309" w:type="dxa"/>
                        <w:tblLook w:val="04A0" w:firstRow="1" w:lastRow="0" w:firstColumn="1" w:lastColumn="0" w:noHBand="0" w:noVBand="1"/>
                      </w:tblPr>
                      <w:tblGrid>
                        <w:gridCol w:w="6126"/>
                        <w:gridCol w:w="62"/>
                      </w:tblGrid>
                      <w:tr w:rsidR="003A7132" w:rsidRPr="00E65DE3" w:rsidTr="005A0337">
                        <w:trPr>
                          <w:gridAfter w:val="1"/>
                          <w:wAfter w:w="62" w:type="dxa"/>
                          <w:trHeight w:val="198"/>
                        </w:trPr>
                        <w:tc>
                          <w:tcPr>
                            <w:tcW w:w="6126" w:type="dxa"/>
                            <w:shd w:val="clear" w:color="auto" w:fill="auto"/>
                          </w:tcPr>
                          <w:p w:rsidR="003A7132" w:rsidRPr="00235B64" w:rsidRDefault="003A7132" w:rsidP="00ED0C00">
                            <w:pPr>
                              <w:pStyle w:val="GraphTitle"/>
                              <w:rPr>
                                <w:rFonts w:ascii="Times New Roman" w:hAnsi="Times New Roman" w:cs="Times New Roman"/>
                                <w:b/>
                                <w:sz w:val="20"/>
                                <w:szCs w:val="20"/>
                                <w:lang w:val="ru-RU"/>
                              </w:rPr>
                            </w:pPr>
                            <w:r w:rsidRPr="00235B64">
                              <w:rPr>
                                <w:rFonts w:ascii="Times New Roman" w:hAnsi="Times New Roman" w:cs="Times New Roman"/>
                                <w:b/>
                                <w:sz w:val="20"/>
                                <w:szCs w:val="20"/>
                                <w:lang w:val="ru-RU"/>
                              </w:rPr>
                              <w:t>Долгосрочные темпы роста и инвестиции</w:t>
                            </w:r>
                          </w:p>
                        </w:tc>
                      </w:tr>
                      <w:tr w:rsidR="003A7132" w:rsidRPr="00E65DE3" w:rsidTr="005A0337">
                        <w:trPr>
                          <w:trHeight w:hRule="exact" w:val="28"/>
                        </w:trPr>
                        <w:tc>
                          <w:tcPr>
                            <w:tcW w:w="6126" w:type="dxa"/>
                            <w:tcBorders>
                              <w:bottom w:val="single" w:sz="4" w:space="0" w:color="auto"/>
                            </w:tcBorders>
                            <w:shd w:val="clear" w:color="auto" w:fill="auto"/>
                          </w:tcPr>
                          <w:p w:rsidR="003A7132" w:rsidRPr="00E65DE3" w:rsidRDefault="003A7132" w:rsidP="00ED0C00">
                            <w:pPr>
                              <w:pStyle w:val="TabText"/>
                              <w:rPr>
                                <w:rFonts w:ascii="Times New Roman" w:hAnsi="Times New Roman" w:cs="Times New Roman"/>
                                <w:lang w:val="ru-RU"/>
                              </w:rPr>
                            </w:pPr>
                          </w:p>
                        </w:tc>
                        <w:tc>
                          <w:tcPr>
                            <w:tcW w:w="62" w:type="dxa"/>
                            <w:shd w:val="clear" w:color="auto" w:fill="auto"/>
                          </w:tcPr>
                          <w:p w:rsidR="003A7132" w:rsidRPr="00E65DE3" w:rsidRDefault="003A7132" w:rsidP="00ED0C00">
                            <w:pPr>
                              <w:pStyle w:val="TabText"/>
                              <w:rPr>
                                <w:rFonts w:ascii="Times New Roman" w:hAnsi="Times New Roman" w:cs="Times New Roman"/>
                                <w:lang w:val="ru-RU"/>
                              </w:rPr>
                            </w:pPr>
                          </w:p>
                        </w:tc>
                      </w:tr>
                      <w:tr w:rsidR="003A7132" w:rsidRPr="00E65DE3" w:rsidTr="005A0337">
                        <w:tblPrEx>
                          <w:tblCellMar>
                            <w:left w:w="108" w:type="dxa"/>
                            <w:right w:w="108" w:type="dxa"/>
                          </w:tblCellMar>
                        </w:tblPrEx>
                        <w:trPr>
                          <w:gridAfter w:val="1"/>
                          <w:wAfter w:w="62" w:type="dxa"/>
                          <w:trHeight w:val="2200"/>
                        </w:trPr>
                        <w:tc>
                          <w:tcPr>
                            <w:tcW w:w="6126" w:type="dxa"/>
                            <w:tcBorders>
                              <w:top w:val="single" w:sz="4" w:space="0" w:color="auto"/>
                              <w:bottom w:val="single" w:sz="4" w:space="0" w:color="auto"/>
                            </w:tcBorders>
                            <w:shd w:val="clear" w:color="auto" w:fill="auto"/>
                            <w:tcMar>
                              <w:left w:w="0" w:type="nil"/>
                              <w:right w:w="0" w:type="nil"/>
                            </w:tcMar>
                          </w:tcPr>
                          <w:p w:rsidR="003A7132" w:rsidRPr="00E65DE3" w:rsidRDefault="003A7132" w:rsidP="00ED0C00">
                            <w:pPr>
                              <w:pStyle w:val="TabText"/>
                              <w:rPr>
                                <w:rFonts w:ascii="Times New Roman" w:hAnsi="Times New Roman" w:cs="Times New Roman"/>
                                <w:lang w:val="ru-RU"/>
                              </w:rPr>
                            </w:pPr>
                            <w:r w:rsidRPr="003E2F41">
                              <w:rPr>
                                <w:rFonts w:ascii="Times New Roman" w:hAnsi="Times New Roman" w:cs="Times New Roman"/>
                                <w:noProof/>
                                <w:lang w:val="ru-RU" w:bidi="ar-SA"/>
                              </w:rPr>
                              <w:drawing>
                                <wp:inline distT="0" distB="0" distL="0" distR="0" wp14:anchorId="3CBC697B" wp14:editId="232758D8">
                                  <wp:extent cx="3753135" cy="3166977"/>
                                  <wp:effectExtent l="0" t="0" r="0" b="0"/>
                                  <wp:docPr id="13" name="Диаграмма 10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A7132" w:rsidRPr="00E65DE3" w:rsidTr="005A0337">
                        <w:trPr>
                          <w:gridAfter w:val="1"/>
                          <w:wAfter w:w="62" w:type="dxa"/>
                          <w:trHeight w:val="198"/>
                        </w:trPr>
                        <w:tc>
                          <w:tcPr>
                            <w:tcW w:w="6126" w:type="dxa"/>
                            <w:tcBorders>
                              <w:top w:val="single" w:sz="4" w:space="0" w:color="auto"/>
                            </w:tcBorders>
                            <w:shd w:val="clear" w:color="auto" w:fill="auto"/>
                          </w:tcPr>
                          <w:p w:rsidR="003A7132" w:rsidRPr="00235B64" w:rsidRDefault="003A7132" w:rsidP="00ED0C00">
                            <w:pPr>
                              <w:pStyle w:val="SourceLarge"/>
                              <w:spacing w:after="240"/>
                              <w:rPr>
                                <w:rFonts w:ascii="Times New Roman" w:hAnsi="Times New Roman" w:cs="Times New Roman"/>
                                <w:i/>
                                <w:lang w:val="ru-RU"/>
                              </w:rPr>
                            </w:pPr>
                            <w:r w:rsidRPr="00235B64">
                              <w:rPr>
                                <w:rFonts w:ascii="Times New Roman" w:hAnsi="Times New Roman" w:cs="Times New Roman"/>
                                <w:i/>
                                <w:sz w:val="14"/>
                                <w:szCs w:val="14"/>
                                <w:lang w:val="ru-RU"/>
                              </w:rPr>
                              <w:t>Источник:</w:t>
                            </w:r>
                            <w:r w:rsidRPr="003633FC">
                              <w:rPr>
                                <w:rFonts w:ascii="Times New Roman" w:hAnsi="Times New Roman" w:cs="Times New Roman"/>
                                <w:i/>
                                <w:sz w:val="14"/>
                                <w:szCs w:val="14"/>
                              </w:rPr>
                              <w:t> </w:t>
                            </w:r>
                            <w:r>
                              <w:rPr>
                                <w:rFonts w:ascii="Times New Roman" w:hAnsi="Times New Roman" w:cs="Times New Roman"/>
                                <w:i/>
                                <w:sz w:val="14"/>
                                <w:szCs w:val="14"/>
                                <w:lang w:val="ru-RU"/>
                              </w:rPr>
                              <w:t>МВФ</w:t>
                            </w:r>
                            <w:r w:rsidRPr="00235B64">
                              <w:rPr>
                                <w:rFonts w:ascii="Times New Roman" w:hAnsi="Times New Roman" w:cs="Times New Roman"/>
                                <w:i/>
                                <w:sz w:val="14"/>
                                <w:szCs w:val="14"/>
                                <w:lang w:val="ru-RU"/>
                              </w:rPr>
                              <w:t xml:space="preserve">, </w:t>
                            </w:r>
                            <w:r w:rsidRPr="00235B64">
                              <w:rPr>
                                <w:rFonts w:ascii="Times New Roman" w:hAnsi="Times New Roman" w:cs="Times New Roman"/>
                                <w:i/>
                                <w:sz w:val="14"/>
                                <w:szCs w:val="14"/>
                                <w:lang w:val="en-US"/>
                              </w:rPr>
                              <w:t>Penn</w:t>
                            </w:r>
                            <w:r w:rsidRPr="00235B64">
                              <w:rPr>
                                <w:rFonts w:ascii="Times New Roman" w:hAnsi="Times New Roman" w:cs="Times New Roman"/>
                                <w:i/>
                                <w:sz w:val="14"/>
                                <w:szCs w:val="14"/>
                                <w:lang w:val="ru-RU"/>
                              </w:rPr>
                              <w:t xml:space="preserve"> </w:t>
                            </w:r>
                            <w:r w:rsidRPr="00235B64">
                              <w:rPr>
                                <w:rFonts w:ascii="Times New Roman" w:hAnsi="Times New Roman" w:cs="Times New Roman"/>
                                <w:i/>
                                <w:sz w:val="14"/>
                                <w:szCs w:val="14"/>
                                <w:lang w:val="en-US"/>
                              </w:rPr>
                              <w:t>World</w:t>
                            </w:r>
                            <w:r w:rsidRPr="00235B64">
                              <w:rPr>
                                <w:rFonts w:ascii="Times New Roman" w:hAnsi="Times New Roman" w:cs="Times New Roman"/>
                                <w:i/>
                                <w:sz w:val="14"/>
                                <w:szCs w:val="14"/>
                                <w:lang w:val="ru-RU"/>
                              </w:rPr>
                              <w:t xml:space="preserve"> </w:t>
                            </w:r>
                            <w:r w:rsidRPr="00235B64">
                              <w:rPr>
                                <w:rFonts w:ascii="Times New Roman" w:hAnsi="Times New Roman" w:cs="Times New Roman"/>
                                <w:i/>
                                <w:sz w:val="14"/>
                                <w:szCs w:val="14"/>
                                <w:lang w:val="en-US"/>
                              </w:rPr>
                              <w:t>Tables</w:t>
                            </w:r>
                            <w:r>
                              <w:rPr>
                                <w:rFonts w:ascii="Times New Roman" w:hAnsi="Times New Roman" w:cs="Times New Roman"/>
                                <w:i/>
                                <w:sz w:val="14"/>
                                <w:szCs w:val="14"/>
                                <w:lang w:val="ru-RU"/>
                              </w:rPr>
                              <w:t>, оценки Минфина</w:t>
                            </w:r>
                          </w:p>
                        </w:tc>
                      </w:tr>
                    </w:tbl>
                    <w:p w:rsidR="003A7132" w:rsidRPr="00493EC5" w:rsidRDefault="003A7132" w:rsidP="00B64C98">
                      <w:pPr>
                        <w:spacing w:before="120" w:after="120"/>
                        <w:jc w:val="both"/>
                        <w:rPr>
                          <w:rFonts w:ascii="Times New Roman" w:hAnsi="Times New Roman"/>
                          <w:sz w:val="20"/>
                          <w:szCs w:val="20"/>
                        </w:rPr>
                      </w:pPr>
                      <w:r w:rsidRPr="0002076E">
                        <w:rPr>
                          <w:rFonts w:ascii="Times New Roman" w:hAnsi="Times New Roman"/>
                          <w:sz w:val="20"/>
                          <w:szCs w:val="20"/>
                        </w:rPr>
                        <w:t>Полученные оценки соответствуют априорным ожиданиям и экономической логике</w:t>
                      </w:r>
                      <w:r>
                        <w:rPr>
                          <w:rFonts w:ascii="Times New Roman" w:hAnsi="Times New Roman"/>
                          <w:sz w:val="20"/>
                          <w:szCs w:val="20"/>
                        </w:rPr>
                        <w:t xml:space="preserve">. </w:t>
                      </w:r>
                      <w:r w:rsidRPr="00493EC5">
                        <w:rPr>
                          <w:rFonts w:ascii="Times New Roman" w:hAnsi="Times New Roman"/>
                          <w:sz w:val="20"/>
                          <w:szCs w:val="20"/>
                        </w:rPr>
                        <w:t xml:space="preserve">Чувствительность роста реального выпуска на одного занятого к доле инвестиций к ВВП устойчиво положительна и принимает значения в диапазоне 0,15-0,17. </w:t>
                      </w:r>
                      <w:r>
                        <w:rPr>
                          <w:rFonts w:ascii="Times New Roman" w:hAnsi="Times New Roman"/>
                          <w:sz w:val="20"/>
                          <w:szCs w:val="20"/>
                        </w:rPr>
                        <w:t xml:space="preserve">Для учета </w:t>
                      </w:r>
                      <w:r w:rsidRPr="00493EC5">
                        <w:rPr>
                          <w:rFonts w:ascii="Times New Roman" w:hAnsi="Times New Roman"/>
                          <w:sz w:val="20"/>
                          <w:szCs w:val="20"/>
                        </w:rPr>
                        <w:t>эффект</w:t>
                      </w:r>
                      <w:r>
                        <w:rPr>
                          <w:rFonts w:ascii="Times New Roman" w:hAnsi="Times New Roman"/>
                          <w:sz w:val="20"/>
                          <w:szCs w:val="20"/>
                        </w:rPr>
                        <w:t>а</w:t>
                      </w:r>
                      <w:r w:rsidRPr="00493EC5">
                        <w:rPr>
                          <w:rFonts w:ascii="Times New Roman" w:hAnsi="Times New Roman"/>
                          <w:sz w:val="20"/>
                          <w:szCs w:val="20"/>
                        </w:rPr>
                        <w:t xml:space="preserve"> догоняющего развития, когда экономики со сравнительно низким доходом на душу </w:t>
                      </w:r>
                      <w:r>
                        <w:rPr>
                          <w:rFonts w:ascii="Times New Roman" w:hAnsi="Times New Roman"/>
                          <w:sz w:val="20"/>
                          <w:szCs w:val="20"/>
                        </w:rPr>
                        <w:t xml:space="preserve">населения </w:t>
                      </w:r>
                      <w:r w:rsidRPr="00493EC5">
                        <w:rPr>
                          <w:rFonts w:ascii="Times New Roman" w:hAnsi="Times New Roman"/>
                          <w:sz w:val="20"/>
                          <w:szCs w:val="20"/>
                        </w:rPr>
                        <w:t>испытывают повышенный рост за счет импорта технологий из-за рубежа</w:t>
                      </w:r>
                      <w:r>
                        <w:rPr>
                          <w:rFonts w:ascii="Times New Roman" w:hAnsi="Times New Roman"/>
                          <w:sz w:val="20"/>
                          <w:szCs w:val="20"/>
                        </w:rPr>
                        <w:t>,</w:t>
                      </w:r>
                      <w:r w:rsidRPr="00493EC5">
                        <w:rPr>
                          <w:rFonts w:ascii="Times New Roman" w:hAnsi="Times New Roman"/>
                          <w:sz w:val="20"/>
                          <w:szCs w:val="20"/>
                        </w:rPr>
                        <w:t xml:space="preserve"> </w:t>
                      </w:r>
                      <w:r>
                        <w:rPr>
                          <w:rFonts w:ascii="Times New Roman" w:hAnsi="Times New Roman"/>
                          <w:sz w:val="20"/>
                          <w:szCs w:val="20"/>
                        </w:rPr>
                        <w:t xml:space="preserve">в модель был </w:t>
                      </w:r>
                      <w:r w:rsidRPr="00493EC5">
                        <w:rPr>
                          <w:rFonts w:ascii="Times New Roman" w:hAnsi="Times New Roman"/>
                          <w:sz w:val="20"/>
                          <w:szCs w:val="20"/>
                        </w:rPr>
                        <w:t>включ</w:t>
                      </w:r>
                      <w:r>
                        <w:rPr>
                          <w:rFonts w:ascii="Times New Roman" w:hAnsi="Times New Roman"/>
                          <w:sz w:val="20"/>
                          <w:szCs w:val="20"/>
                        </w:rPr>
                        <w:t>ен</w:t>
                      </w:r>
                      <w:r w:rsidRPr="00493EC5">
                        <w:rPr>
                          <w:rFonts w:ascii="Times New Roman" w:hAnsi="Times New Roman"/>
                          <w:sz w:val="20"/>
                          <w:szCs w:val="20"/>
                        </w:rPr>
                        <w:t xml:space="preserve"> </w:t>
                      </w:r>
                      <w:r>
                        <w:rPr>
                          <w:rFonts w:ascii="Times New Roman" w:hAnsi="Times New Roman"/>
                          <w:sz w:val="20"/>
                          <w:szCs w:val="20"/>
                        </w:rPr>
                        <w:t xml:space="preserve">показатель </w:t>
                      </w:r>
                      <w:r w:rsidRPr="00493EC5">
                        <w:rPr>
                          <w:rFonts w:ascii="Times New Roman" w:hAnsi="Times New Roman"/>
                          <w:sz w:val="20"/>
                          <w:szCs w:val="20"/>
                        </w:rPr>
                        <w:t>отклонени</w:t>
                      </w:r>
                      <w:r>
                        <w:rPr>
                          <w:rFonts w:ascii="Times New Roman" w:hAnsi="Times New Roman"/>
                          <w:sz w:val="20"/>
                          <w:szCs w:val="20"/>
                        </w:rPr>
                        <w:t>я</w:t>
                      </w:r>
                      <w:r w:rsidRPr="00493EC5">
                        <w:rPr>
                          <w:rFonts w:ascii="Times New Roman" w:hAnsi="Times New Roman"/>
                          <w:sz w:val="20"/>
                          <w:szCs w:val="20"/>
                        </w:rPr>
                        <w:t xml:space="preserve"> валового выпуска по паритету покупательной способности на душу </w:t>
                      </w:r>
                      <w:r>
                        <w:rPr>
                          <w:rFonts w:ascii="Times New Roman" w:hAnsi="Times New Roman"/>
                          <w:sz w:val="20"/>
                          <w:szCs w:val="20"/>
                        </w:rPr>
                        <w:t xml:space="preserve">населения </w:t>
                      </w:r>
                      <w:r w:rsidRPr="00493EC5">
                        <w:rPr>
                          <w:rFonts w:ascii="Times New Roman" w:hAnsi="Times New Roman"/>
                          <w:sz w:val="20"/>
                          <w:szCs w:val="20"/>
                        </w:rPr>
                        <w:t>от среднего по выборке стран. Ожидаемо более</w:t>
                      </w:r>
                      <w:r>
                        <w:rPr>
                          <w:rFonts w:ascii="Times New Roman" w:hAnsi="Times New Roman"/>
                          <w:sz w:val="20"/>
                          <w:szCs w:val="20"/>
                        </w:rPr>
                        <w:t xml:space="preserve"> низкий</w:t>
                      </w:r>
                      <w:r w:rsidRPr="00493EC5">
                        <w:rPr>
                          <w:rFonts w:ascii="Times New Roman" w:hAnsi="Times New Roman"/>
                          <w:sz w:val="20"/>
                          <w:szCs w:val="20"/>
                        </w:rPr>
                        <w:t xml:space="preserve"> уровень доходов ассоциируется с </w:t>
                      </w:r>
                      <w:r>
                        <w:rPr>
                          <w:rFonts w:ascii="Times New Roman" w:hAnsi="Times New Roman"/>
                          <w:sz w:val="20"/>
                          <w:szCs w:val="20"/>
                        </w:rPr>
                        <w:t>более</w:t>
                      </w:r>
                      <w:r w:rsidRPr="00493EC5">
                        <w:rPr>
                          <w:rFonts w:ascii="Times New Roman" w:hAnsi="Times New Roman"/>
                          <w:sz w:val="20"/>
                          <w:szCs w:val="20"/>
                        </w:rPr>
                        <w:t xml:space="preserve"> высоким ростом производительности, диапазон значение этого параметра составил -0,04 - -0,01.</w:t>
                      </w:r>
                    </w:p>
                    <w:p w:rsidR="003A7132" w:rsidRPr="0031498D" w:rsidRDefault="003A7132" w:rsidP="00B64C98">
                      <w:pPr>
                        <w:spacing w:before="120" w:after="120"/>
                        <w:jc w:val="both"/>
                        <w:rPr>
                          <w:rFonts w:ascii="Times New Roman" w:hAnsi="Times New Roman"/>
                          <w:sz w:val="20"/>
                          <w:szCs w:val="20"/>
                        </w:rPr>
                      </w:pPr>
                      <w:r w:rsidRPr="00493EC5">
                        <w:rPr>
                          <w:rFonts w:ascii="Times New Roman" w:hAnsi="Times New Roman"/>
                          <w:sz w:val="20"/>
                          <w:szCs w:val="20"/>
                        </w:rPr>
                        <w:t>Другим фактором, оказывающим значительное</w:t>
                      </w:r>
                      <w:r>
                        <w:rPr>
                          <w:rFonts w:ascii="Times New Roman" w:hAnsi="Times New Roman"/>
                          <w:sz w:val="20"/>
                          <w:szCs w:val="20"/>
                        </w:rPr>
                        <w:t xml:space="preserve">, но на этот раз сдерживающее, </w:t>
                      </w:r>
                      <w:r w:rsidRPr="00493EC5">
                        <w:rPr>
                          <w:rFonts w:ascii="Times New Roman" w:hAnsi="Times New Roman"/>
                          <w:sz w:val="20"/>
                          <w:szCs w:val="20"/>
                        </w:rPr>
                        <w:t>влияние на рост производительности труда, оказалась доля потребления государства в ВВП. При росте этого показателя на 1п</w:t>
                      </w:r>
                      <w:r>
                        <w:rPr>
                          <w:rFonts w:ascii="Times New Roman" w:hAnsi="Times New Roman"/>
                          <w:sz w:val="20"/>
                          <w:szCs w:val="20"/>
                        </w:rPr>
                        <w:t>.</w:t>
                      </w:r>
                      <w:r w:rsidRPr="00493EC5">
                        <w:rPr>
                          <w:rFonts w:ascii="Times New Roman" w:hAnsi="Times New Roman"/>
                          <w:sz w:val="20"/>
                          <w:szCs w:val="20"/>
                        </w:rPr>
                        <w:t>п</w:t>
                      </w:r>
                      <w:r>
                        <w:rPr>
                          <w:rFonts w:ascii="Times New Roman" w:hAnsi="Times New Roman"/>
                          <w:sz w:val="20"/>
                          <w:szCs w:val="20"/>
                        </w:rPr>
                        <w:t>.</w:t>
                      </w:r>
                      <w:r w:rsidRPr="00493EC5">
                        <w:rPr>
                          <w:rFonts w:ascii="Times New Roman" w:hAnsi="Times New Roman"/>
                          <w:sz w:val="20"/>
                          <w:szCs w:val="20"/>
                        </w:rPr>
                        <w:t xml:space="preserve"> в </w:t>
                      </w:r>
                      <w:r>
                        <w:rPr>
                          <w:rFonts w:ascii="Times New Roman" w:hAnsi="Times New Roman"/>
                          <w:sz w:val="20"/>
                          <w:szCs w:val="20"/>
                        </w:rPr>
                        <w:t xml:space="preserve">представленной </w:t>
                      </w:r>
                      <w:r w:rsidRPr="00493EC5">
                        <w:rPr>
                          <w:rFonts w:ascii="Times New Roman" w:hAnsi="Times New Roman"/>
                          <w:sz w:val="20"/>
                          <w:szCs w:val="20"/>
                        </w:rPr>
                        <w:t>выборке рост замедлялся на -0,46</w:t>
                      </w:r>
                      <w:r>
                        <w:rPr>
                          <w:rFonts w:ascii="Times New Roman" w:hAnsi="Times New Roman"/>
                          <w:sz w:val="20"/>
                          <w:szCs w:val="20"/>
                        </w:rPr>
                        <w:t xml:space="preserve"> - -0,50п.п.</w:t>
                      </w:r>
                    </w:p>
                  </w:txbxContent>
                </v:textbox>
                <w10:wrap type="square" anchorx="margin"/>
              </v:shape>
            </w:pict>
          </mc:Fallback>
        </mc:AlternateContent>
      </w:r>
      <w:r w:rsidR="005758A0">
        <w:rPr>
          <w:rFonts w:ascii="Times New Roman" w:hAnsi="Times New Roman"/>
          <w:b/>
          <w:sz w:val="28"/>
          <w:szCs w:val="24"/>
        </w:rPr>
        <w:t xml:space="preserve">Повышение </w:t>
      </w:r>
      <w:r w:rsidR="000E54CA">
        <w:rPr>
          <w:rFonts w:ascii="Times New Roman" w:hAnsi="Times New Roman"/>
          <w:b/>
          <w:sz w:val="28"/>
          <w:szCs w:val="24"/>
        </w:rPr>
        <w:t>инвестиционной активности</w:t>
      </w:r>
    </w:p>
    <w:p w:rsidR="00B64C98" w:rsidRDefault="005758A0" w:rsidP="005758A0">
      <w:pPr>
        <w:spacing w:before="120" w:after="120"/>
        <w:jc w:val="both"/>
        <w:rPr>
          <w:rFonts w:ascii="Times New Roman" w:hAnsi="Times New Roman"/>
          <w:sz w:val="24"/>
          <w:szCs w:val="24"/>
        </w:rPr>
      </w:pPr>
      <w:r>
        <w:rPr>
          <w:rFonts w:ascii="Times New Roman" w:hAnsi="Times New Roman"/>
          <w:sz w:val="24"/>
          <w:szCs w:val="24"/>
        </w:rPr>
        <w:t xml:space="preserve">В целях повышения инвестиционной активности в </w:t>
      </w:r>
      <w:r w:rsidR="00DB29F1">
        <w:rPr>
          <w:rFonts w:ascii="Times New Roman" w:hAnsi="Times New Roman"/>
          <w:sz w:val="24"/>
          <w:szCs w:val="24"/>
        </w:rPr>
        <w:t>соответствии</w:t>
      </w:r>
      <w:r>
        <w:rPr>
          <w:rFonts w:ascii="Times New Roman" w:hAnsi="Times New Roman"/>
          <w:sz w:val="24"/>
          <w:szCs w:val="24"/>
        </w:rPr>
        <w:t xml:space="preserve"> с </w:t>
      </w:r>
      <w:r w:rsidRPr="005758A0">
        <w:rPr>
          <w:rFonts w:ascii="Times New Roman" w:hAnsi="Times New Roman"/>
          <w:sz w:val="24"/>
          <w:szCs w:val="24"/>
        </w:rPr>
        <w:t xml:space="preserve">Посланием Президента Федеральному Собранию от 1 марта 2018 г. Правительство </w:t>
      </w:r>
      <w:r>
        <w:rPr>
          <w:rFonts w:ascii="Times New Roman" w:hAnsi="Times New Roman"/>
          <w:sz w:val="24"/>
          <w:szCs w:val="24"/>
        </w:rPr>
        <w:t xml:space="preserve">разрабатывает план мероприятий, направленных на </w:t>
      </w:r>
      <w:r w:rsidRPr="005758A0">
        <w:rPr>
          <w:rFonts w:ascii="Times New Roman" w:hAnsi="Times New Roman"/>
          <w:sz w:val="24"/>
          <w:szCs w:val="24"/>
        </w:rPr>
        <w:t xml:space="preserve">ускорению темпов роста инвестиций в основной капитал и повышению до 25% их доли в </w:t>
      </w:r>
      <w:r>
        <w:rPr>
          <w:rFonts w:ascii="Times New Roman" w:hAnsi="Times New Roman"/>
          <w:sz w:val="24"/>
          <w:szCs w:val="24"/>
        </w:rPr>
        <w:t xml:space="preserve">ВВП. При этом в части бюджетной политики </w:t>
      </w:r>
      <w:r w:rsidR="000E54CA">
        <w:rPr>
          <w:rFonts w:ascii="Times New Roman" w:hAnsi="Times New Roman"/>
          <w:sz w:val="24"/>
          <w:szCs w:val="24"/>
        </w:rPr>
        <w:t>стимулирование инвестиций</w:t>
      </w:r>
      <w:r w:rsidR="007A1C20">
        <w:rPr>
          <w:rFonts w:ascii="Times New Roman" w:hAnsi="Times New Roman"/>
          <w:sz w:val="24"/>
          <w:szCs w:val="24"/>
        </w:rPr>
        <w:t xml:space="preserve"> должно</w:t>
      </w:r>
      <w:r w:rsidR="000E54CA">
        <w:rPr>
          <w:rFonts w:ascii="Times New Roman" w:hAnsi="Times New Roman"/>
          <w:sz w:val="24"/>
          <w:szCs w:val="24"/>
        </w:rPr>
        <w:t xml:space="preserve"> включат</w:t>
      </w:r>
      <w:r w:rsidR="007A1C20">
        <w:rPr>
          <w:rFonts w:ascii="Times New Roman" w:hAnsi="Times New Roman"/>
          <w:sz w:val="24"/>
          <w:szCs w:val="24"/>
        </w:rPr>
        <w:t>ь</w:t>
      </w:r>
      <w:r w:rsidR="000E54CA">
        <w:rPr>
          <w:rFonts w:ascii="Times New Roman" w:hAnsi="Times New Roman"/>
          <w:sz w:val="24"/>
          <w:szCs w:val="24"/>
        </w:rPr>
        <w:t xml:space="preserve"> меры по трем ключевым направлениям:</w:t>
      </w:r>
    </w:p>
    <w:p w:rsidR="000E54CA" w:rsidRDefault="000E54CA" w:rsidP="005758A0">
      <w:pPr>
        <w:spacing w:before="120" w:after="120"/>
        <w:jc w:val="both"/>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xml:space="preserve">. </w:t>
      </w:r>
      <w:r w:rsidRPr="000E54CA">
        <w:rPr>
          <w:rFonts w:ascii="Times New Roman" w:hAnsi="Times New Roman"/>
          <w:b/>
          <w:sz w:val="24"/>
          <w:szCs w:val="24"/>
        </w:rPr>
        <w:t>Системные меры</w:t>
      </w:r>
      <w:r>
        <w:rPr>
          <w:rFonts w:ascii="Times New Roman" w:hAnsi="Times New Roman"/>
          <w:sz w:val="24"/>
          <w:szCs w:val="24"/>
        </w:rPr>
        <w:t xml:space="preserve">, </w:t>
      </w:r>
      <w:r w:rsidR="007A1C20">
        <w:rPr>
          <w:rFonts w:ascii="Times New Roman" w:hAnsi="Times New Roman"/>
          <w:sz w:val="24"/>
          <w:szCs w:val="24"/>
        </w:rPr>
        <w:t>в том числе</w:t>
      </w:r>
      <w:r>
        <w:rPr>
          <w:rFonts w:ascii="Times New Roman" w:hAnsi="Times New Roman"/>
          <w:sz w:val="24"/>
          <w:szCs w:val="24"/>
        </w:rPr>
        <w:t>:</w:t>
      </w:r>
    </w:p>
    <w:p w:rsidR="000E54CA" w:rsidRDefault="000E54CA" w:rsidP="006A22F2">
      <w:pPr>
        <w:pStyle w:val="aa"/>
        <w:numPr>
          <w:ilvl w:val="0"/>
          <w:numId w:val="9"/>
        </w:numPr>
        <w:spacing w:before="120" w:after="120"/>
        <w:contextualSpacing w:val="0"/>
        <w:jc w:val="both"/>
        <w:rPr>
          <w:rFonts w:ascii="Times New Roman" w:hAnsi="Times New Roman"/>
          <w:sz w:val="24"/>
          <w:szCs w:val="24"/>
        </w:rPr>
      </w:pPr>
      <w:r w:rsidRPr="000E54CA">
        <w:rPr>
          <w:rFonts w:ascii="Times New Roman" w:hAnsi="Times New Roman"/>
          <w:sz w:val="24"/>
          <w:szCs w:val="24"/>
          <w:u w:val="single"/>
        </w:rPr>
        <w:t xml:space="preserve">Формирование стабильных </w:t>
      </w:r>
      <w:r w:rsidR="00E97AD2">
        <w:rPr>
          <w:rFonts w:ascii="Times New Roman" w:hAnsi="Times New Roman"/>
          <w:sz w:val="24"/>
          <w:szCs w:val="24"/>
          <w:u w:val="single"/>
        </w:rPr>
        <w:t>налоговых</w:t>
      </w:r>
      <w:r w:rsidRPr="000E54CA">
        <w:rPr>
          <w:rFonts w:ascii="Times New Roman" w:hAnsi="Times New Roman"/>
          <w:sz w:val="24"/>
          <w:szCs w:val="24"/>
          <w:u w:val="single"/>
        </w:rPr>
        <w:t xml:space="preserve"> условий</w:t>
      </w:r>
      <w:r>
        <w:rPr>
          <w:rFonts w:ascii="Times New Roman" w:hAnsi="Times New Roman"/>
          <w:sz w:val="24"/>
          <w:szCs w:val="24"/>
        </w:rPr>
        <w:t xml:space="preserve">. </w:t>
      </w:r>
      <w:r w:rsidRPr="000E54CA">
        <w:rPr>
          <w:rFonts w:ascii="Times New Roman" w:hAnsi="Times New Roman"/>
          <w:sz w:val="24"/>
          <w:szCs w:val="24"/>
        </w:rPr>
        <w:t xml:space="preserve">Ключевая цель в части предлагаемых </w:t>
      </w:r>
      <w:r w:rsidRPr="007A1C20">
        <w:rPr>
          <w:rFonts w:ascii="Times New Roman" w:hAnsi="Times New Roman"/>
          <w:b/>
          <w:sz w:val="24"/>
          <w:szCs w:val="24"/>
        </w:rPr>
        <w:t>изменений налогообложения ненефтегазового сектора</w:t>
      </w:r>
      <w:r w:rsidRPr="000E54CA">
        <w:rPr>
          <w:rFonts w:ascii="Times New Roman" w:hAnsi="Times New Roman"/>
          <w:sz w:val="24"/>
          <w:szCs w:val="24"/>
        </w:rPr>
        <w:t xml:space="preserve"> – зафиксировать налоговые условия для делового сообщества на ближайшие 6 лет,</w:t>
      </w:r>
      <w:r w:rsidR="00B60752">
        <w:rPr>
          <w:rFonts w:ascii="Times New Roman" w:hAnsi="Times New Roman"/>
          <w:sz w:val="24"/>
          <w:szCs w:val="24"/>
        </w:rPr>
        <w:t xml:space="preserve"> предусмотрев при этом такую до</w:t>
      </w:r>
      <w:r w:rsidRPr="000E54CA">
        <w:rPr>
          <w:rFonts w:ascii="Times New Roman" w:hAnsi="Times New Roman"/>
          <w:sz w:val="24"/>
          <w:szCs w:val="24"/>
        </w:rPr>
        <w:t xml:space="preserve">настройку налоговой системы, которая </w:t>
      </w:r>
      <w:r w:rsidRPr="000E54CA">
        <w:rPr>
          <w:rFonts w:ascii="Times New Roman" w:hAnsi="Times New Roman"/>
          <w:sz w:val="24"/>
          <w:szCs w:val="24"/>
        </w:rPr>
        <w:lastRenderedPageBreak/>
        <w:t>способствовала бы реализации национальных целей развития, поставленных Президентом</w:t>
      </w:r>
      <w:r>
        <w:rPr>
          <w:rFonts w:ascii="Times New Roman" w:hAnsi="Times New Roman"/>
          <w:sz w:val="24"/>
          <w:szCs w:val="24"/>
        </w:rPr>
        <w:t>.</w:t>
      </w:r>
    </w:p>
    <w:p w:rsidR="007A1C20" w:rsidRDefault="000E54CA" w:rsidP="007A1C20">
      <w:pPr>
        <w:pStyle w:val="aa"/>
        <w:spacing w:before="120" w:after="120"/>
        <w:ind w:left="360"/>
        <w:jc w:val="both"/>
        <w:rPr>
          <w:rFonts w:ascii="Times New Roman" w:hAnsi="Times New Roman"/>
          <w:sz w:val="24"/>
          <w:szCs w:val="24"/>
        </w:rPr>
      </w:pPr>
      <w:r w:rsidRPr="000E54CA">
        <w:rPr>
          <w:rFonts w:ascii="Times New Roman" w:hAnsi="Times New Roman"/>
          <w:sz w:val="24"/>
          <w:szCs w:val="24"/>
        </w:rPr>
        <w:t xml:space="preserve">Учитывая высокое искажающее влияние и болезненность (для бизнеса) налогов на труд, </w:t>
      </w:r>
      <w:r w:rsidR="007A1C20">
        <w:rPr>
          <w:rFonts w:ascii="Times New Roman" w:hAnsi="Times New Roman"/>
          <w:sz w:val="24"/>
          <w:szCs w:val="24"/>
        </w:rPr>
        <w:t xml:space="preserve">представляется, что </w:t>
      </w:r>
      <w:r>
        <w:rPr>
          <w:rFonts w:ascii="Times New Roman" w:hAnsi="Times New Roman"/>
          <w:sz w:val="24"/>
          <w:szCs w:val="24"/>
        </w:rPr>
        <w:t>изменение структуры налоговой нагрузки</w:t>
      </w:r>
      <w:r w:rsidRPr="000E54CA">
        <w:rPr>
          <w:rFonts w:ascii="Times New Roman" w:hAnsi="Times New Roman"/>
          <w:sz w:val="24"/>
          <w:szCs w:val="24"/>
        </w:rPr>
        <w:t>, предполагающ</w:t>
      </w:r>
      <w:r>
        <w:rPr>
          <w:rFonts w:ascii="Times New Roman" w:hAnsi="Times New Roman"/>
          <w:sz w:val="24"/>
          <w:szCs w:val="24"/>
        </w:rPr>
        <w:t>ее</w:t>
      </w:r>
      <w:r w:rsidRPr="000E54CA">
        <w:rPr>
          <w:rFonts w:ascii="Times New Roman" w:hAnsi="Times New Roman"/>
          <w:sz w:val="24"/>
          <w:szCs w:val="24"/>
        </w:rPr>
        <w:t xml:space="preserve"> </w:t>
      </w:r>
      <w:r w:rsidR="007A1C20">
        <w:rPr>
          <w:rFonts w:ascii="Times New Roman" w:hAnsi="Times New Roman"/>
          <w:sz w:val="24"/>
          <w:szCs w:val="24"/>
        </w:rPr>
        <w:t xml:space="preserve">гарантию </w:t>
      </w:r>
      <w:r w:rsidR="00B60752">
        <w:rPr>
          <w:rFonts w:ascii="Times New Roman" w:hAnsi="Times New Roman"/>
          <w:sz w:val="24"/>
          <w:szCs w:val="24"/>
        </w:rPr>
        <w:t>не</w:t>
      </w:r>
      <w:r w:rsidR="00DB29F1">
        <w:rPr>
          <w:rFonts w:ascii="Times New Roman" w:hAnsi="Times New Roman"/>
          <w:sz w:val="24"/>
          <w:szCs w:val="24"/>
        </w:rPr>
        <w:t>увеличения</w:t>
      </w:r>
      <w:r w:rsidR="007A1C20">
        <w:rPr>
          <w:rFonts w:ascii="Times New Roman" w:hAnsi="Times New Roman"/>
          <w:sz w:val="24"/>
          <w:szCs w:val="24"/>
        </w:rPr>
        <w:t xml:space="preserve"> </w:t>
      </w:r>
      <w:r w:rsidRPr="000E54CA">
        <w:rPr>
          <w:rFonts w:ascii="Times New Roman" w:hAnsi="Times New Roman"/>
          <w:sz w:val="24"/>
          <w:szCs w:val="24"/>
        </w:rPr>
        <w:t>текущего уровня страховых взносов с небольшим увеличением уровня косвенного налогообложения, соответ</w:t>
      </w:r>
      <w:r w:rsidR="00B60752">
        <w:rPr>
          <w:rFonts w:ascii="Times New Roman" w:hAnsi="Times New Roman"/>
          <w:sz w:val="24"/>
          <w:szCs w:val="24"/>
        </w:rPr>
        <w:t>ствует логике такой до</w:t>
      </w:r>
      <w:r w:rsidRPr="000E54CA">
        <w:rPr>
          <w:rFonts w:ascii="Times New Roman" w:hAnsi="Times New Roman"/>
          <w:sz w:val="24"/>
          <w:szCs w:val="24"/>
        </w:rPr>
        <w:t>настройки</w:t>
      </w:r>
      <w:r w:rsidR="00116A6A">
        <w:rPr>
          <w:rFonts w:ascii="Times New Roman" w:hAnsi="Times New Roman"/>
          <w:sz w:val="24"/>
          <w:szCs w:val="24"/>
        </w:rPr>
        <w:t>.</w:t>
      </w:r>
    </w:p>
    <w:p w:rsidR="00B62C26" w:rsidRDefault="00DB29F1" w:rsidP="00B62C26">
      <w:pPr>
        <w:pStyle w:val="aa"/>
        <w:spacing w:before="120" w:after="120"/>
        <w:ind w:left="360"/>
        <w:jc w:val="both"/>
        <w:rPr>
          <w:rFonts w:ascii="Times New Roman" w:hAnsi="Times New Roman"/>
          <w:sz w:val="24"/>
          <w:szCs w:val="24"/>
        </w:rPr>
      </w:pPr>
      <w:r>
        <w:rPr>
          <w:rFonts w:ascii="Times New Roman" w:hAnsi="Times New Roman"/>
          <w:sz w:val="24"/>
          <w:szCs w:val="24"/>
        </w:rPr>
        <w:t>Соответственно</w:t>
      </w:r>
      <w:r w:rsidR="000E54CA">
        <w:rPr>
          <w:rFonts w:ascii="Times New Roman" w:hAnsi="Times New Roman"/>
          <w:sz w:val="24"/>
          <w:szCs w:val="24"/>
        </w:rPr>
        <w:t xml:space="preserve"> предполагается </w:t>
      </w:r>
      <w:r w:rsidR="000E54CA" w:rsidRPr="007A1C20">
        <w:rPr>
          <w:rFonts w:ascii="Times New Roman" w:hAnsi="Times New Roman"/>
          <w:sz w:val="24"/>
          <w:szCs w:val="24"/>
          <w:u w:val="single"/>
        </w:rPr>
        <w:t>повысить основную ставку НДС с 18% до 20%</w:t>
      </w:r>
      <w:r w:rsidR="007A1C20">
        <w:rPr>
          <w:rFonts w:ascii="Times New Roman" w:hAnsi="Times New Roman"/>
          <w:sz w:val="24"/>
          <w:szCs w:val="24"/>
        </w:rPr>
        <w:t xml:space="preserve"> с </w:t>
      </w:r>
      <w:r w:rsidR="007A1C20" w:rsidRPr="007A1C20">
        <w:rPr>
          <w:rFonts w:ascii="Times New Roman" w:hAnsi="Times New Roman"/>
          <w:sz w:val="24"/>
          <w:szCs w:val="24"/>
          <w:u w:val="single"/>
        </w:rPr>
        <w:t>фиксацией</w:t>
      </w:r>
      <w:r w:rsidR="007A1C20">
        <w:rPr>
          <w:rFonts w:ascii="Times New Roman" w:hAnsi="Times New Roman"/>
          <w:sz w:val="24"/>
          <w:szCs w:val="24"/>
        </w:rPr>
        <w:t xml:space="preserve"> на постоянной основе ставки </w:t>
      </w:r>
      <w:r w:rsidR="007A1C20" w:rsidRPr="007A1C20">
        <w:rPr>
          <w:rFonts w:ascii="Times New Roman" w:hAnsi="Times New Roman"/>
          <w:sz w:val="24"/>
          <w:szCs w:val="24"/>
          <w:u w:val="single"/>
        </w:rPr>
        <w:t>тарифа страховых взносов на уровне 30%</w:t>
      </w:r>
      <w:r w:rsidR="000E54CA" w:rsidRPr="000E54CA">
        <w:rPr>
          <w:rFonts w:ascii="Times New Roman" w:hAnsi="Times New Roman"/>
          <w:sz w:val="24"/>
          <w:szCs w:val="24"/>
        </w:rPr>
        <w:t>.</w:t>
      </w:r>
      <w:r w:rsidR="00116A6A">
        <w:rPr>
          <w:rFonts w:ascii="Times New Roman" w:hAnsi="Times New Roman"/>
          <w:sz w:val="24"/>
          <w:szCs w:val="24"/>
        </w:rPr>
        <w:t xml:space="preserve"> </w:t>
      </w:r>
      <w:r w:rsidR="00B62C26">
        <w:rPr>
          <w:rFonts w:ascii="Times New Roman" w:hAnsi="Times New Roman"/>
          <w:sz w:val="24"/>
          <w:szCs w:val="24"/>
        </w:rPr>
        <w:t xml:space="preserve">При этом в целях минимизации влияния повышения ставки НДС на </w:t>
      </w:r>
      <w:r w:rsidR="000E54CA" w:rsidRPr="000E54CA">
        <w:rPr>
          <w:rFonts w:ascii="Times New Roman" w:hAnsi="Times New Roman"/>
          <w:sz w:val="24"/>
          <w:szCs w:val="24"/>
        </w:rPr>
        <w:t xml:space="preserve">социально-незащищенные группы людей, </w:t>
      </w:r>
      <w:r w:rsidR="000E54CA" w:rsidRPr="00B62C26">
        <w:rPr>
          <w:rFonts w:ascii="Times New Roman" w:hAnsi="Times New Roman"/>
          <w:sz w:val="24"/>
          <w:szCs w:val="24"/>
          <w:u w:val="single"/>
        </w:rPr>
        <w:t>льгот</w:t>
      </w:r>
      <w:r w:rsidR="00B62C26" w:rsidRPr="00B62C26">
        <w:rPr>
          <w:rFonts w:ascii="Times New Roman" w:hAnsi="Times New Roman"/>
          <w:sz w:val="24"/>
          <w:szCs w:val="24"/>
          <w:u w:val="single"/>
        </w:rPr>
        <w:t>н</w:t>
      </w:r>
      <w:r w:rsidR="000E54CA" w:rsidRPr="00B62C26">
        <w:rPr>
          <w:rFonts w:ascii="Times New Roman" w:hAnsi="Times New Roman"/>
          <w:sz w:val="24"/>
          <w:szCs w:val="24"/>
          <w:u w:val="single"/>
        </w:rPr>
        <w:t>ы</w:t>
      </w:r>
      <w:r w:rsidR="00B62C26" w:rsidRPr="00B62C26">
        <w:rPr>
          <w:rFonts w:ascii="Times New Roman" w:hAnsi="Times New Roman"/>
          <w:sz w:val="24"/>
          <w:szCs w:val="24"/>
          <w:u w:val="single"/>
        </w:rPr>
        <w:t>е</w:t>
      </w:r>
      <w:r w:rsidR="000E54CA" w:rsidRPr="00B62C26">
        <w:rPr>
          <w:rFonts w:ascii="Times New Roman" w:hAnsi="Times New Roman"/>
          <w:sz w:val="24"/>
          <w:szCs w:val="24"/>
          <w:u w:val="single"/>
        </w:rPr>
        <w:t xml:space="preserve"> </w:t>
      </w:r>
      <w:r w:rsidR="00B62C26" w:rsidRPr="00B62C26">
        <w:rPr>
          <w:rFonts w:ascii="Times New Roman" w:hAnsi="Times New Roman"/>
          <w:sz w:val="24"/>
          <w:szCs w:val="24"/>
          <w:u w:val="single"/>
        </w:rPr>
        <w:t>ставки НДС</w:t>
      </w:r>
      <w:r w:rsidR="00B62C26">
        <w:rPr>
          <w:rFonts w:ascii="Times New Roman" w:hAnsi="Times New Roman"/>
          <w:sz w:val="24"/>
          <w:szCs w:val="24"/>
        </w:rPr>
        <w:t xml:space="preserve"> на </w:t>
      </w:r>
      <w:r w:rsidR="000E54CA" w:rsidRPr="000E54CA">
        <w:rPr>
          <w:rFonts w:ascii="Times New Roman" w:hAnsi="Times New Roman"/>
          <w:sz w:val="24"/>
          <w:szCs w:val="24"/>
        </w:rPr>
        <w:t>осно</w:t>
      </w:r>
      <w:r w:rsidR="00B62C26">
        <w:rPr>
          <w:rFonts w:ascii="Times New Roman" w:hAnsi="Times New Roman"/>
          <w:sz w:val="24"/>
          <w:szCs w:val="24"/>
        </w:rPr>
        <w:t xml:space="preserve">вные социально значимые товары и услуги </w:t>
      </w:r>
      <w:r w:rsidR="00B62C26" w:rsidRPr="00B62C26">
        <w:rPr>
          <w:rFonts w:ascii="Times New Roman" w:hAnsi="Times New Roman"/>
          <w:sz w:val="24"/>
          <w:szCs w:val="24"/>
          <w:u w:val="single"/>
        </w:rPr>
        <w:t>будут сохранены</w:t>
      </w:r>
      <w:r w:rsidR="00B62C26">
        <w:rPr>
          <w:rFonts w:ascii="Times New Roman" w:hAnsi="Times New Roman"/>
          <w:sz w:val="24"/>
          <w:szCs w:val="24"/>
        </w:rPr>
        <w:t>.</w:t>
      </w:r>
    </w:p>
    <w:p w:rsidR="00B62C26" w:rsidRPr="00E97AD2" w:rsidRDefault="00E97AD2" w:rsidP="006A22F2">
      <w:pPr>
        <w:pStyle w:val="aa"/>
        <w:numPr>
          <w:ilvl w:val="0"/>
          <w:numId w:val="9"/>
        </w:numPr>
        <w:spacing w:before="120" w:after="120"/>
        <w:contextualSpacing w:val="0"/>
        <w:jc w:val="both"/>
        <w:rPr>
          <w:rFonts w:ascii="Times New Roman" w:hAnsi="Times New Roman"/>
          <w:sz w:val="24"/>
          <w:szCs w:val="24"/>
        </w:rPr>
      </w:pPr>
      <w:r w:rsidRPr="00E97AD2">
        <w:rPr>
          <w:rFonts w:ascii="Times New Roman" w:hAnsi="Times New Roman"/>
          <w:sz w:val="24"/>
          <w:szCs w:val="24"/>
          <w:u w:val="single"/>
        </w:rPr>
        <w:t xml:space="preserve">Стабильность и предсказуемость </w:t>
      </w:r>
      <w:r w:rsidRPr="00E97AD2">
        <w:rPr>
          <w:rFonts w:ascii="Times New Roman" w:hAnsi="Times New Roman"/>
          <w:b/>
          <w:sz w:val="24"/>
          <w:szCs w:val="24"/>
          <w:u w:val="single"/>
        </w:rPr>
        <w:t>неналоговых</w:t>
      </w:r>
      <w:r w:rsidRPr="00E97AD2">
        <w:rPr>
          <w:rFonts w:ascii="Times New Roman" w:hAnsi="Times New Roman"/>
          <w:sz w:val="24"/>
          <w:szCs w:val="24"/>
          <w:u w:val="single"/>
        </w:rPr>
        <w:t xml:space="preserve"> (квази-налоговых) </w:t>
      </w:r>
      <w:r w:rsidRPr="00E97AD2">
        <w:rPr>
          <w:rFonts w:ascii="Times New Roman" w:hAnsi="Times New Roman"/>
          <w:b/>
          <w:sz w:val="24"/>
          <w:szCs w:val="24"/>
          <w:u w:val="single"/>
        </w:rPr>
        <w:t>платежей</w:t>
      </w:r>
      <w:r>
        <w:rPr>
          <w:rFonts w:ascii="Times New Roman" w:hAnsi="Times New Roman"/>
          <w:sz w:val="24"/>
          <w:szCs w:val="24"/>
        </w:rPr>
        <w:t xml:space="preserve">. </w:t>
      </w:r>
      <w:r w:rsidR="00653630" w:rsidRPr="00E97AD2">
        <w:rPr>
          <w:rFonts w:ascii="Times New Roman" w:hAnsi="Times New Roman"/>
          <w:sz w:val="24"/>
          <w:szCs w:val="24"/>
        </w:rPr>
        <w:t>Помимо налоговых условий, также важна и предсказуемость таких элементов фискальной системы как неналоговые платежи.</w:t>
      </w:r>
      <w:r w:rsidR="00B62C26" w:rsidRPr="00E97AD2">
        <w:rPr>
          <w:rFonts w:ascii="Times New Roman" w:hAnsi="Times New Roman"/>
          <w:sz w:val="24"/>
          <w:szCs w:val="24"/>
        </w:rPr>
        <w:t xml:space="preserve"> Основная задача – обеспечить предсказуемые условия ведения бизнеса, навести порядок в существующих и предотвратить бесконтрольное появление новых платежей.</w:t>
      </w:r>
      <w:r w:rsidRPr="00E97AD2">
        <w:rPr>
          <w:rFonts w:ascii="Times New Roman" w:hAnsi="Times New Roman"/>
          <w:sz w:val="24"/>
          <w:szCs w:val="24"/>
        </w:rPr>
        <w:t xml:space="preserve"> </w:t>
      </w:r>
      <w:r w:rsidR="00B62C26" w:rsidRPr="00E97AD2">
        <w:rPr>
          <w:rFonts w:ascii="Times New Roman" w:hAnsi="Times New Roman"/>
          <w:sz w:val="24"/>
          <w:szCs w:val="24"/>
        </w:rPr>
        <w:t>По результатам инвентаризации и анализа действующих неналоговых платежей те из них, которые обладают признаками налогов или сборов предполагается регулировать в рамках налогового законодательства</w:t>
      </w:r>
      <w:r w:rsidRPr="00E97AD2">
        <w:rPr>
          <w:rFonts w:ascii="Times New Roman" w:hAnsi="Times New Roman"/>
          <w:sz w:val="24"/>
          <w:szCs w:val="24"/>
        </w:rPr>
        <w:t xml:space="preserve">, а по остальным сформировать их закрытый перечень с установлением </w:t>
      </w:r>
      <w:r w:rsidR="00B62C26" w:rsidRPr="00E97AD2">
        <w:rPr>
          <w:rFonts w:ascii="Times New Roman" w:hAnsi="Times New Roman"/>
          <w:sz w:val="24"/>
          <w:szCs w:val="24"/>
        </w:rPr>
        <w:t>едины</w:t>
      </w:r>
      <w:r w:rsidRPr="00E97AD2">
        <w:rPr>
          <w:rFonts w:ascii="Times New Roman" w:hAnsi="Times New Roman"/>
          <w:sz w:val="24"/>
          <w:szCs w:val="24"/>
        </w:rPr>
        <w:t>х</w:t>
      </w:r>
      <w:r w:rsidR="00B62C26" w:rsidRPr="00E97AD2">
        <w:rPr>
          <w:rFonts w:ascii="Times New Roman" w:hAnsi="Times New Roman"/>
          <w:sz w:val="24"/>
          <w:szCs w:val="24"/>
        </w:rPr>
        <w:t xml:space="preserve"> правил</w:t>
      </w:r>
      <w:r w:rsidRPr="00E97AD2">
        <w:rPr>
          <w:rFonts w:ascii="Times New Roman" w:hAnsi="Times New Roman"/>
          <w:sz w:val="24"/>
          <w:szCs w:val="24"/>
        </w:rPr>
        <w:t xml:space="preserve"> регулирования в рамках отдельного законодательства.</w:t>
      </w:r>
    </w:p>
    <w:p w:rsidR="00E97AD2" w:rsidRDefault="00E97AD2" w:rsidP="00E97AD2">
      <w:pPr>
        <w:spacing w:before="120" w:after="120"/>
        <w:jc w:val="both"/>
        <w:rPr>
          <w:rFonts w:ascii="Times New Roman" w:hAnsi="Times New Roman"/>
          <w:sz w:val="24"/>
          <w:szCs w:val="24"/>
        </w:rPr>
      </w:pPr>
      <w:r>
        <w:rPr>
          <w:rFonts w:ascii="Times New Roman" w:hAnsi="Times New Roman"/>
          <w:sz w:val="24"/>
          <w:szCs w:val="24"/>
          <w:lang w:val="en-US"/>
        </w:rPr>
        <w:t>II</w:t>
      </w:r>
      <w:r>
        <w:rPr>
          <w:rFonts w:ascii="Times New Roman" w:hAnsi="Times New Roman"/>
          <w:sz w:val="24"/>
          <w:szCs w:val="24"/>
        </w:rPr>
        <w:t xml:space="preserve">. </w:t>
      </w:r>
      <w:r w:rsidR="00116A6A" w:rsidRPr="00116A6A">
        <w:rPr>
          <w:rFonts w:ascii="Times New Roman" w:hAnsi="Times New Roman"/>
          <w:b/>
          <w:sz w:val="24"/>
          <w:szCs w:val="24"/>
        </w:rPr>
        <w:t>Стимулирующие н</w:t>
      </w:r>
      <w:r w:rsidRPr="00116A6A">
        <w:rPr>
          <w:rFonts w:ascii="Times New Roman" w:hAnsi="Times New Roman"/>
          <w:b/>
          <w:sz w:val="24"/>
          <w:szCs w:val="24"/>
        </w:rPr>
        <w:t>а</w:t>
      </w:r>
      <w:r>
        <w:rPr>
          <w:rFonts w:ascii="Times New Roman" w:hAnsi="Times New Roman"/>
          <w:b/>
          <w:sz w:val="24"/>
          <w:szCs w:val="24"/>
        </w:rPr>
        <w:t>логовые и финансовые</w:t>
      </w:r>
      <w:r w:rsidRPr="000E54CA">
        <w:rPr>
          <w:rFonts w:ascii="Times New Roman" w:hAnsi="Times New Roman"/>
          <w:b/>
          <w:sz w:val="24"/>
          <w:szCs w:val="24"/>
        </w:rPr>
        <w:t xml:space="preserve"> меры</w:t>
      </w:r>
      <w:r>
        <w:rPr>
          <w:rFonts w:ascii="Times New Roman" w:hAnsi="Times New Roman"/>
          <w:sz w:val="24"/>
          <w:szCs w:val="24"/>
        </w:rPr>
        <w:t>, в том числе:</w:t>
      </w:r>
    </w:p>
    <w:p w:rsidR="00954CFA" w:rsidRDefault="00116A6A" w:rsidP="006A22F2">
      <w:pPr>
        <w:pStyle w:val="aa"/>
        <w:numPr>
          <w:ilvl w:val="0"/>
          <w:numId w:val="9"/>
        </w:numPr>
        <w:spacing w:before="120" w:after="120"/>
        <w:contextualSpacing w:val="0"/>
        <w:jc w:val="both"/>
        <w:rPr>
          <w:rFonts w:ascii="Times New Roman" w:hAnsi="Times New Roman"/>
          <w:sz w:val="24"/>
          <w:szCs w:val="24"/>
        </w:rPr>
      </w:pPr>
      <w:r>
        <w:rPr>
          <w:rFonts w:ascii="Times New Roman" w:hAnsi="Times New Roman"/>
          <w:sz w:val="24"/>
          <w:szCs w:val="24"/>
          <w:u w:val="single"/>
        </w:rPr>
        <w:t>Налоговые меры</w:t>
      </w:r>
      <w:r w:rsidR="00954CFA">
        <w:rPr>
          <w:rFonts w:ascii="Times New Roman" w:hAnsi="Times New Roman"/>
          <w:sz w:val="24"/>
          <w:szCs w:val="24"/>
        </w:rPr>
        <w:t>.</w:t>
      </w:r>
    </w:p>
    <w:p w:rsidR="00116A6A" w:rsidRDefault="00116A6A" w:rsidP="00954CFA">
      <w:pPr>
        <w:pStyle w:val="aa"/>
        <w:spacing w:before="120" w:after="120"/>
        <w:ind w:left="360"/>
        <w:contextualSpacing w:val="0"/>
        <w:jc w:val="both"/>
        <w:rPr>
          <w:rFonts w:ascii="Times New Roman" w:hAnsi="Times New Roman"/>
          <w:sz w:val="24"/>
          <w:szCs w:val="24"/>
        </w:rPr>
      </w:pPr>
      <w:r>
        <w:rPr>
          <w:rFonts w:ascii="Times New Roman" w:hAnsi="Times New Roman"/>
          <w:sz w:val="24"/>
          <w:szCs w:val="24"/>
        </w:rPr>
        <w:t xml:space="preserve">Стимулом для инвестиций в рамках изменений параметров налоговой системы может стать предлагаемая </w:t>
      </w:r>
      <w:r w:rsidRPr="00B62C26">
        <w:rPr>
          <w:rFonts w:ascii="Times New Roman" w:hAnsi="Times New Roman"/>
          <w:sz w:val="24"/>
          <w:szCs w:val="24"/>
          <w:u w:val="single"/>
        </w:rPr>
        <w:t>отмена</w:t>
      </w:r>
      <w:r w:rsidRPr="007A1C20">
        <w:rPr>
          <w:rFonts w:ascii="Times New Roman" w:hAnsi="Times New Roman"/>
          <w:sz w:val="24"/>
          <w:szCs w:val="24"/>
        </w:rPr>
        <w:t xml:space="preserve"> сложн</w:t>
      </w:r>
      <w:r>
        <w:rPr>
          <w:rFonts w:ascii="Times New Roman" w:hAnsi="Times New Roman"/>
          <w:sz w:val="24"/>
          <w:szCs w:val="24"/>
        </w:rPr>
        <w:t>ого</w:t>
      </w:r>
      <w:r w:rsidRPr="007A1C20">
        <w:rPr>
          <w:rFonts w:ascii="Times New Roman" w:hAnsi="Times New Roman"/>
          <w:sz w:val="24"/>
          <w:szCs w:val="24"/>
        </w:rPr>
        <w:t xml:space="preserve"> и дестимулирующ</w:t>
      </w:r>
      <w:r>
        <w:rPr>
          <w:rFonts w:ascii="Times New Roman" w:hAnsi="Times New Roman"/>
          <w:sz w:val="24"/>
          <w:szCs w:val="24"/>
        </w:rPr>
        <w:t>его</w:t>
      </w:r>
      <w:r w:rsidRPr="007A1C20">
        <w:rPr>
          <w:rFonts w:ascii="Times New Roman" w:hAnsi="Times New Roman"/>
          <w:sz w:val="24"/>
          <w:szCs w:val="24"/>
        </w:rPr>
        <w:t xml:space="preserve"> ускоренное внедрение и развитие технологий отечественной промышленности </w:t>
      </w:r>
      <w:r w:rsidRPr="00B62C26">
        <w:rPr>
          <w:rFonts w:ascii="Times New Roman" w:hAnsi="Times New Roman"/>
          <w:sz w:val="24"/>
          <w:szCs w:val="24"/>
          <w:u w:val="single"/>
        </w:rPr>
        <w:t>налога на движимое имущество</w:t>
      </w:r>
      <w:r w:rsidRPr="00116A6A">
        <w:rPr>
          <w:rFonts w:ascii="Times New Roman" w:hAnsi="Times New Roman"/>
          <w:sz w:val="24"/>
          <w:szCs w:val="24"/>
        </w:rPr>
        <w:t>.</w:t>
      </w:r>
    </w:p>
    <w:p w:rsidR="002B5E19" w:rsidRDefault="002B5E19" w:rsidP="00954CFA">
      <w:pPr>
        <w:pStyle w:val="aa"/>
        <w:spacing w:before="120" w:after="120"/>
        <w:ind w:left="360"/>
        <w:contextualSpacing w:val="0"/>
        <w:jc w:val="both"/>
        <w:rPr>
          <w:rFonts w:ascii="Times New Roman" w:hAnsi="Times New Roman"/>
          <w:sz w:val="24"/>
          <w:szCs w:val="24"/>
        </w:rPr>
      </w:pPr>
      <w:r w:rsidRPr="002B5E19">
        <w:rPr>
          <w:rFonts w:ascii="Times New Roman" w:hAnsi="Times New Roman"/>
          <w:sz w:val="24"/>
          <w:szCs w:val="24"/>
        </w:rPr>
        <w:t xml:space="preserve">В </w:t>
      </w:r>
      <w:r>
        <w:rPr>
          <w:rFonts w:ascii="Times New Roman" w:hAnsi="Times New Roman"/>
          <w:sz w:val="24"/>
          <w:szCs w:val="24"/>
        </w:rPr>
        <w:t xml:space="preserve">целях стимулирования экспорта планируется </w:t>
      </w:r>
      <w:r w:rsidRPr="002B5E19">
        <w:rPr>
          <w:rFonts w:ascii="Times New Roman" w:hAnsi="Times New Roman"/>
          <w:sz w:val="24"/>
          <w:szCs w:val="24"/>
        </w:rPr>
        <w:t xml:space="preserve">обеспечить </w:t>
      </w:r>
      <w:r>
        <w:rPr>
          <w:rFonts w:ascii="Times New Roman" w:hAnsi="Times New Roman"/>
          <w:sz w:val="24"/>
          <w:szCs w:val="24"/>
          <w:u w:val="single"/>
        </w:rPr>
        <w:t xml:space="preserve">ускорение возмещения НДС </w:t>
      </w:r>
      <w:r w:rsidRPr="002B5E19">
        <w:rPr>
          <w:rFonts w:ascii="Times New Roman" w:hAnsi="Times New Roman"/>
          <w:sz w:val="24"/>
          <w:szCs w:val="24"/>
          <w:u w:val="single"/>
        </w:rPr>
        <w:t>экспортерам</w:t>
      </w:r>
      <w:r w:rsidRPr="002B5E19">
        <w:rPr>
          <w:rFonts w:ascii="Times New Roman" w:hAnsi="Times New Roman"/>
          <w:sz w:val="24"/>
          <w:szCs w:val="24"/>
        </w:rPr>
        <w:t xml:space="preserve"> путём снижения пороговых значений сумм, уплаченных предприятием за три года налогов с 7 </w:t>
      </w:r>
      <w:r>
        <w:rPr>
          <w:rFonts w:ascii="Times New Roman" w:hAnsi="Times New Roman"/>
          <w:sz w:val="24"/>
          <w:szCs w:val="24"/>
        </w:rPr>
        <w:t>до 2 млрд рублей.</w:t>
      </w:r>
    </w:p>
    <w:p w:rsidR="00954CFA" w:rsidRDefault="00954CFA" w:rsidP="00954CFA">
      <w:pPr>
        <w:pStyle w:val="aa"/>
        <w:spacing w:before="120" w:after="120"/>
        <w:ind w:left="360"/>
        <w:contextualSpacing w:val="0"/>
        <w:jc w:val="both"/>
        <w:rPr>
          <w:rFonts w:ascii="Times New Roman" w:hAnsi="Times New Roman"/>
          <w:sz w:val="24"/>
          <w:szCs w:val="24"/>
        </w:rPr>
      </w:pPr>
      <w:r>
        <w:rPr>
          <w:rFonts w:ascii="Times New Roman" w:hAnsi="Times New Roman"/>
          <w:sz w:val="24"/>
          <w:szCs w:val="24"/>
        </w:rPr>
        <w:t>С</w:t>
      </w:r>
      <w:r w:rsidRPr="00954CFA">
        <w:rPr>
          <w:rFonts w:ascii="Times New Roman" w:hAnsi="Times New Roman"/>
          <w:sz w:val="24"/>
          <w:szCs w:val="24"/>
        </w:rPr>
        <w:t xml:space="preserve">овершенствование регулирования </w:t>
      </w:r>
      <w:r w:rsidRPr="00954CFA">
        <w:rPr>
          <w:rFonts w:ascii="Times New Roman" w:hAnsi="Times New Roman"/>
          <w:sz w:val="24"/>
          <w:szCs w:val="24"/>
          <w:u w:val="single"/>
        </w:rPr>
        <w:t>инвестиционного налогового вычета</w:t>
      </w:r>
      <w:r w:rsidRPr="00954CFA">
        <w:rPr>
          <w:rFonts w:ascii="Times New Roman" w:hAnsi="Times New Roman"/>
          <w:sz w:val="24"/>
          <w:szCs w:val="24"/>
        </w:rPr>
        <w:t xml:space="preserve"> по налогу на прибыль органи</w:t>
      </w:r>
      <w:r>
        <w:rPr>
          <w:rFonts w:ascii="Times New Roman" w:hAnsi="Times New Roman"/>
          <w:sz w:val="24"/>
          <w:szCs w:val="24"/>
        </w:rPr>
        <w:t xml:space="preserve">заций, в том числе: (1) </w:t>
      </w:r>
      <w:r w:rsidRPr="00954CFA">
        <w:rPr>
          <w:rFonts w:ascii="Times New Roman" w:hAnsi="Times New Roman"/>
          <w:sz w:val="24"/>
          <w:szCs w:val="24"/>
        </w:rPr>
        <w:t>сняти</w:t>
      </w:r>
      <w:r>
        <w:rPr>
          <w:rFonts w:ascii="Times New Roman" w:hAnsi="Times New Roman"/>
          <w:sz w:val="24"/>
          <w:szCs w:val="24"/>
        </w:rPr>
        <w:t>е</w:t>
      </w:r>
      <w:r w:rsidRPr="00954CFA">
        <w:rPr>
          <w:rFonts w:ascii="Times New Roman" w:hAnsi="Times New Roman"/>
          <w:sz w:val="24"/>
          <w:szCs w:val="24"/>
        </w:rPr>
        <w:t xml:space="preserve"> ограничений на его применение участниками </w:t>
      </w:r>
      <w:r>
        <w:rPr>
          <w:rFonts w:ascii="Times New Roman" w:hAnsi="Times New Roman"/>
          <w:sz w:val="24"/>
          <w:szCs w:val="24"/>
        </w:rPr>
        <w:t>КГН; (2)</w:t>
      </w:r>
      <w:r w:rsidRPr="00954CFA">
        <w:rPr>
          <w:rFonts w:ascii="Times New Roman" w:hAnsi="Times New Roman"/>
          <w:sz w:val="24"/>
          <w:szCs w:val="24"/>
        </w:rPr>
        <w:t xml:space="preserve"> расширени</w:t>
      </w:r>
      <w:r>
        <w:rPr>
          <w:rFonts w:ascii="Times New Roman" w:hAnsi="Times New Roman"/>
          <w:sz w:val="24"/>
          <w:szCs w:val="24"/>
        </w:rPr>
        <w:t>е</w:t>
      </w:r>
      <w:r w:rsidRPr="00954CFA">
        <w:rPr>
          <w:rFonts w:ascii="Times New Roman" w:hAnsi="Times New Roman"/>
          <w:sz w:val="24"/>
          <w:szCs w:val="24"/>
        </w:rPr>
        <w:t xml:space="preserve"> сферы его применения в части компенсации затрат налогоплательщиков, осуществляющих строительство объектов коммунальной, транспортной и социальной инфраструктур в рамках договора о комплексном освоении территории</w:t>
      </w:r>
      <w:r>
        <w:rPr>
          <w:rFonts w:ascii="Times New Roman" w:hAnsi="Times New Roman"/>
          <w:sz w:val="24"/>
          <w:szCs w:val="24"/>
        </w:rPr>
        <w:t>.</w:t>
      </w:r>
    </w:p>
    <w:p w:rsidR="00954CFA" w:rsidRPr="00954CFA" w:rsidRDefault="00954CFA" w:rsidP="00954CFA">
      <w:pPr>
        <w:pStyle w:val="aa"/>
        <w:spacing w:before="120" w:after="120"/>
        <w:ind w:left="360"/>
        <w:contextualSpacing w:val="0"/>
        <w:jc w:val="both"/>
        <w:rPr>
          <w:rFonts w:ascii="Times New Roman" w:hAnsi="Times New Roman"/>
          <w:sz w:val="24"/>
          <w:szCs w:val="24"/>
        </w:rPr>
      </w:pPr>
      <w:r w:rsidRPr="00954CFA">
        <w:rPr>
          <w:rFonts w:ascii="Times New Roman" w:hAnsi="Times New Roman"/>
          <w:sz w:val="24"/>
          <w:szCs w:val="24"/>
        </w:rPr>
        <w:t xml:space="preserve">В целях обеспечения конкурентоспособности ТОСЭР, расположенных в Дальневосточном федеральном округе и СПВ по отношению к территориям, расположенным в странах Азиатско-Тихоокеанского региона, и улучшения инвестиционного климата предлагается установить </w:t>
      </w:r>
      <w:r w:rsidRPr="00954CFA">
        <w:rPr>
          <w:rFonts w:ascii="Times New Roman" w:hAnsi="Times New Roman"/>
          <w:sz w:val="24"/>
          <w:szCs w:val="24"/>
          <w:u w:val="single"/>
        </w:rPr>
        <w:t xml:space="preserve">пониженные тарифы страховых </w:t>
      </w:r>
      <w:r w:rsidRPr="00954CFA">
        <w:rPr>
          <w:rFonts w:ascii="Times New Roman" w:hAnsi="Times New Roman"/>
          <w:sz w:val="24"/>
          <w:szCs w:val="24"/>
          <w:u w:val="single"/>
        </w:rPr>
        <w:lastRenderedPageBreak/>
        <w:t>взносов резидентам ТОСЭР в ДФО и резидентам СПВ</w:t>
      </w:r>
      <w:r w:rsidRPr="00954CFA">
        <w:rPr>
          <w:rFonts w:ascii="Times New Roman" w:hAnsi="Times New Roman"/>
          <w:sz w:val="24"/>
          <w:szCs w:val="24"/>
        </w:rPr>
        <w:t>, получившим соответствующий статус и открывшим новые производства до 31 декабря 2025 года, установив минимальный объем инвестиций, осуществляемых такими резидентами</w:t>
      </w:r>
      <w:r>
        <w:rPr>
          <w:rFonts w:ascii="Times New Roman" w:hAnsi="Times New Roman"/>
          <w:sz w:val="24"/>
          <w:szCs w:val="24"/>
        </w:rPr>
        <w:t>.</w:t>
      </w:r>
    </w:p>
    <w:p w:rsidR="00116A6A" w:rsidRDefault="00116A6A" w:rsidP="006A22F2">
      <w:pPr>
        <w:pStyle w:val="aa"/>
        <w:numPr>
          <w:ilvl w:val="0"/>
          <w:numId w:val="9"/>
        </w:numPr>
        <w:spacing w:before="120" w:after="120"/>
        <w:contextualSpacing w:val="0"/>
        <w:jc w:val="both"/>
        <w:rPr>
          <w:rFonts w:ascii="Times New Roman" w:hAnsi="Times New Roman"/>
          <w:sz w:val="24"/>
          <w:szCs w:val="24"/>
        </w:rPr>
      </w:pPr>
      <w:r>
        <w:rPr>
          <w:rFonts w:ascii="Times New Roman" w:hAnsi="Times New Roman"/>
          <w:sz w:val="24"/>
          <w:szCs w:val="24"/>
          <w:u w:val="single"/>
        </w:rPr>
        <w:t>Финансовые меры</w:t>
      </w:r>
      <w:r w:rsidRPr="00E97AD2">
        <w:rPr>
          <w:rFonts w:ascii="Times New Roman" w:hAnsi="Times New Roman"/>
          <w:sz w:val="24"/>
          <w:szCs w:val="24"/>
        </w:rPr>
        <w:t xml:space="preserve">. </w:t>
      </w:r>
      <w:r>
        <w:rPr>
          <w:rFonts w:ascii="Times New Roman" w:hAnsi="Times New Roman"/>
          <w:sz w:val="24"/>
          <w:szCs w:val="24"/>
        </w:rPr>
        <w:t xml:space="preserve">Формирование </w:t>
      </w:r>
      <w:r w:rsidRPr="00116A6A">
        <w:rPr>
          <w:rFonts w:ascii="Times New Roman" w:hAnsi="Times New Roman"/>
          <w:sz w:val="24"/>
          <w:szCs w:val="24"/>
        </w:rPr>
        <w:t>долгосрочны</w:t>
      </w:r>
      <w:r>
        <w:rPr>
          <w:rFonts w:ascii="Times New Roman" w:hAnsi="Times New Roman"/>
          <w:sz w:val="24"/>
          <w:szCs w:val="24"/>
        </w:rPr>
        <w:t>х</w:t>
      </w:r>
      <w:r w:rsidRPr="00116A6A">
        <w:rPr>
          <w:rFonts w:ascii="Times New Roman" w:hAnsi="Times New Roman"/>
          <w:sz w:val="24"/>
          <w:szCs w:val="24"/>
        </w:rPr>
        <w:t xml:space="preserve"> источник</w:t>
      </w:r>
      <w:r>
        <w:rPr>
          <w:rFonts w:ascii="Times New Roman" w:hAnsi="Times New Roman"/>
          <w:sz w:val="24"/>
          <w:szCs w:val="24"/>
        </w:rPr>
        <w:t>ов</w:t>
      </w:r>
      <w:r w:rsidRPr="00116A6A">
        <w:rPr>
          <w:rFonts w:ascii="Times New Roman" w:hAnsi="Times New Roman"/>
          <w:sz w:val="24"/>
          <w:szCs w:val="24"/>
        </w:rPr>
        <w:t xml:space="preserve"> финансовых ресурсов</w:t>
      </w:r>
      <w:r>
        <w:rPr>
          <w:rFonts w:ascii="Times New Roman" w:hAnsi="Times New Roman"/>
          <w:sz w:val="24"/>
          <w:szCs w:val="24"/>
        </w:rPr>
        <w:t xml:space="preserve"> </w:t>
      </w:r>
      <w:r w:rsidRPr="00116A6A">
        <w:rPr>
          <w:rFonts w:ascii="Times New Roman" w:hAnsi="Times New Roman"/>
          <w:sz w:val="24"/>
          <w:szCs w:val="24"/>
        </w:rPr>
        <w:t>путем создания надежной системы пенсионных накоплений на основе накопительного пенсионного плана ИПК и развития инструментов страхования жизни</w:t>
      </w:r>
      <w:r>
        <w:rPr>
          <w:rFonts w:ascii="Times New Roman" w:hAnsi="Times New Roman"/>
          <w:sz w:val="24"/>
          <w:szCs w:val="24"/>
        </w:rPr>
        <w:t>.</w:t>
      </w:r>
    </w:p>
    <w:p w:rsidR="00116A6A" w:rsidRDefault="00116A6A" w:rsidP="00116A6A">
      <w:pPr>
        <w:spacing w:before="120" w:after="120"/>
        <w:jc w:val="both"/>
        <w:rPr>
          <w:rFonts w:ascii="Times New Roman" w:hAnsi="Times New Roman"/>
          <w:sz w:val="24"/>
          <w:szCs w:val="24"/>
        </w:rPr>
      </w:pPr>
      <w:r>
        <w:rPr>
          <w:rFonts w:ascii="Times New Roman" w:hAnsi="Times New Roman"/>
          <w:sz w:val="24"/>
          <w:szCs w:val="24"/>
          <w:lang w:val="en-US"/>
        </w:rPr>
        <w:t>III</w:t>
      </w:r>
      <w:r>
        <w:rPr>
          <w:rFonts w:ascii="Times New Roman" w:hAnsi="Times New Roman"/>
          <w:sz w:val="24"/>
          <w:szCs w:val="24"/>
        </w:rPr>
        <w:t xml:space="preserve">. </w:t>
      </w:r>
      <w:r>
        <w:rPr>
          <w:rFonts w:ascii="Times New Roman" w:hAnsi="Times New Roman"/>
          <w:b/>
          <w:sz w:val="24"/>
          <w:szCs w:val="24"/>
        </w:rPr>
        <w:t xml:space="preserve">Отраслевые </w:t>
      </w:r>
      <w:r w:rsidRPr="000E54CA">
        <w:rPr>
          <w:rFonts w:ascii="Times New Roman" w:hAnsi="Times New Roman"/>
          <w:b/>
          <w:sz w:val="24"/>
          <w:szCs w:val="24"/>
        </w:rPr>
        <w:t>меры</w:t>
      </w:r>
      <w:r>
        <w:rPr>
          <w:rFonts w:ascii="Times New Roman" w:hAnsi="Times New Roman"/>
          <w:sz w:val="24"/>
          <w:szCs w:val="24"/>
        </w:rPr>
        <w:t>, в том числе:</w:t>
      </w:r>
    </w:p>
    <w:p w:rsidR="00823010" w:rsidRDefault="00823010" w:rsidP="006A22F2">
      <w:pPr>
        <w:pStyle w:val="aa"/>
        <w:numPr>
          <w:ilvl w:val="0"/>
          <w:numId w:val="9"/>
        </w:numPr>
        <w:spacing w:before="120" w:after="120"/>
        <w:contextualSpacing w:val="0"/>
        <w:jc w:val="both"/>
        <w:rPr>
          <w:rFonts w:ascii="Times New Roman" w:hAnsi="Times New Roman"/>
          <w:sz w:val="24"/>
          <w:szCs w:val="24"/>
        </w:rPr>
      </w:pPr>
      <w:r w:rsidRPr="00823010">
        <w:rPr>
          <w:rFonts w:ascii="Times New Roman" w:hAnsi="Times New Roman"/>
          <w:sz w:val="24"/>
          <w:szCs w:val="24"/>
          <w:u w:val="single"/>
        </w:rPr>
        <w:t>Развитие инфраструктуры</w:t>
      </w:r>
      <w:r w:rsidRPr="00823010">
        <w:rPr>
          <w:rFonts w:ascii="Times New Roman" w:hAnsi="Times New Roman"/>
          <w:sz w:val="24"/>
          <w:szCs w:val="24"/>
        </w:rPr>
        <w:t xml:space="preserve">. Для этих целей предполагается формирование в структуре федерального бюджета Фонда развития в </w:t>
      </w:r>
      <w:r w:rsidR="00DB29F1" w:rsidRPr="00823010">
        <w:rPr>
          <w:rFonts w:ascii="Times New Roman" w:hAnsi="Times New Roman"/>
          <w:sz w:val="24"/>
          <w:szCs w:val="24"/>
        </w:rPr>
        <w:t>размере</w:t>
      </w:r>
      <w:r w:rsidRPr="00823010">
        <w:rPr>
          <w:rFonts w:ascii="Times New Roman" w:hAnsi="Times New Roman"/>
          <w:sz w:val="24"/>
          <w:szCs w:val="24"/>
        </w:rPr>
        <w:t xml:space="preserve"> до 3,5 трлн рублей на период 2019-2024 гг, финансируем</w:t>
      </w:r>
      <w:r w:rsidR="002B30B0">
        <w:rPr>
          <w:rFonts w:ascii="Times New Roman" w:hAnsi="Times New Roman"/>
          <w:sz w:val="24"/>
          <w:szCs w:val="24"/>
        </w:rPr>
        <w:t>ого</w:t>
      </w:r>
      <w:r w:rsidRPr="00823010">
        <w:rPr>
          <w:rFonts w:ascii="Times New Roman" w:hAnsi="Times New Roman"/>
          <w:sz w:val="24"/>
          <w:szCs w:val="24"/>
        </w:rPr>
        <w:t xml:space="preserve"> за счет дополнительных государственных заимствований. При этом размер Фонда развития с одной стороны сбалансирован с точки зрения влияния на устойчивость государственных финансов и доступность кредитных ресурсов для частного сектора, а с другой стороны при надлежащем управлении достаточен для реализации серьезного рывка в доступности и качестве инфраструктуры.</w:t>
      </w:r>
    </w:p>
    <w:p w:rsidR="00823010" w:rsidRDefault="00823010" w:rsidP="00656409">
      <w:pPr>
        <w:pStyle w:val="aa"/>
        <w:spacing w:before="120" w:after="120"/>
        <w:ind w:left="360"/>
        <w:contextualSpacing w:val="0"/>
        <w:jc w:val="both"/>
        <w:rPr>
          <w:rFonts w:ascii="Times New Roman" w:hAnsi="Times New Roman"/>
          <w:sz w:val="24"/>
          <w:szCs w:val="24"/>
        </w:rPr>
      </w:pPr>
      <w:r>
        <w:rPr>
          <w:rFonts w:ascii="Times New Roman" w:hAnsi="Times New Roman"/>
          <w:sz w:val="24"/>
          <w:szCs w:val="24"/>
        </w:rPr>
        <w:t>Умеренное у</w:t>
      </w:r>
      <w:r w:rsidRPr="00823010">
        <w:rPr>
          <w:rFonts w:ascii="Times New Roman" w:hAnsi="Times New Roman"/>
          <w:sz w:val="24"/>
          <w:szCs w:val="24"/>
        </w:rPr>
        <w:t>вели</w:t>
      </w:r>
      <w:r>
        <w:rPr>
          <w:rFonts w:ascii="Times New Roman" w:hAnsi="Times New Roman"/>
          <w:sz w:val="24"/>
          <w:szCs w:val="24"/>
        </w:rPr>
        <w:t xml:space="preserve">чение </w:t>
      </w:r>
      <w:r w:rsidR="00656409">
        <w:rPr>
          <w:rFonts w:ascii="Times New Roman" w:hAnsi="Times New Roman"/>
          <w:sz w:val="24"/>
          <w:szCs w:val="24"/>
        </w:rPr>
        <w:t xml:space="preserve">государственных </w:t>
      </w:r>
      <w:r>
        <w:rPr>
          <w:rFonts w:ascii="Times New Roman" w:hAnsi="Times New Roman"/>
          <w:sz w:val="24"/>
          <w:szCs w:val="24"/>
        </w:rPr>
        <w:t xml:space="preserve">заимствований в целях финансирования капитальных вложений при этом </w:t>
      </w:r>
      <w:r w:rsidR="00656409">
        <w:rPr>
          <w:rFonts w:ascii="Times New Roman" w:hAnsi="Times New Roman"/>
          <w:sz w:val="24"/>
          <w:szCs w:val="24"/>
        </w:rPr>
        <w:t xml:space="preserve">соответствует принципам долгосрочной устойчивости и сбалансированности бюджета, так как долг привлекается </w:t>
      </w:r>
      <w:r w:rsidRPr="00823010">
        <w:rPr>
          <w:rFonts w:ascii="Times New Roman" w:hAnsi="Times New Roman"/>
          <w:sz w:val="24"/>
          <w:szCs w:val="24"/>
        </w:rPr>
        <w:t>на создание новых активов</w:t>
      </w:r>
      <w:r w:rsidR="00656409">
        <w:rPr>
          <w:rFonts w:ascii="Times New Roman" w:hAnsi="Times New Roman"/>
          <w:sz w:val="24"/>
          <w:szCs w:val="24"/>
        </w:rPr>
        <w:t xml:space="preserve"> и расширение потенциала экономики,</w:t>
      </w:r>
      <w:r w:rsidRPr="00823010">
        <w:rPr>
          <w:rFonts w:ascii="Times New Roman" w:hAnsi="Times New Roman"/>
          <w:sz w:val="24"/>
          <w:szCs w:val="24"/>
        </w:rPr>
        <w:t xml:space="preserve"> а не на текущее потребление (</w:t>
      </w:r>
      <w:r w:rsidR="00656409">
        <w:rPr>
          <w:rFonts w:ascii="Times New Roman" w:hAnsi="Times New Roman"/>
          <w:sz w:val="24"/>
          <w:szCs w:val="24"/>
        </w:rPr>
        <w:t xml:space="preserve">так называемое «золотое правило» - </w:t>
      </w:r>
      <w:r w:rsidRPr="00823010">
        <w:rPr>
          <w:rFonts w:ascii="Times New Roman" w:hAnsi="Times New Roman"/>
          <w:sz w:val="24"/>
          <w:szCs w:val="24"/>
        </w:rPr>
        <w:t>см. вставку).</w:t>
      </w:r>
      <w:r w:rsidR="00656409">
        <w:rPr>
          <w:rFonts w:ascii="Times New Roman" w:hAnsi="Times New Roman"/>
          <w:sz w:val="24"/>
          <w:szCs w:val="24"/>
        </w:rPr>
        <w:t xml:space="preserve"> </w:t>
      </w:r>
      <w:r w:rsidR="00DB29F1">
        <w:rPr>
          <w:rFonts w:ascii="Times New Roman" w:hAnsi="Times New Roman"/>
          <w:sz w:val="24"/>
          <w:szCs w:val="24"/>
        </w:rPr>
        <w:t>Критическая</w:t>
      </w:r>
      <w:r w:rsidR="00656409">
        <w:rPr>
          <w:rFonts w:ascii="Times New Roman" w:hAnsi="Times New Roman"/>
          <w:sz w:val="24"/>
          <w:szCs w:val="24"/>
        </w:rPr>
        <w:t xml:space="preserve"> важность в этом контексте возлагается на процедуру отбора проектов – д</w:t>
      </w:r>
      <w:r w:rsidR="00656409" w:rsidRPr="00656409">
        <w:rPr>
          <w:rFonts w:ascii="Times New Roman" w:hAnsi="Times New Roman"/>
          <w:sz w:val="24"/>
          <w:szCs w:val="24"/>
        </w:rPr>
        <w:t xml:space="preserve">ля финансирования из Фонда </w:t>
      </w:r>
      <w:r w:rsidR="00656409">
        <w:rPr>
          <w:rFonts w:ascii="Times New Roman" w:hAnsi="Times New Roman"/>
          <w:sz w:val="24"/>
          <w:szCs w:val="24"/>
        </w:rPr>
        <w:t xml:space="preserve">развития </w:t>
      </w:r>
      <w:r w:rsidR="00656409" w:rsidRPr="00656409">
        <w:rPr>
          <w:rFonts w:ascii="Times New Roman" w:hAnsi="Times New Roman"/>
          <w:sz w:val="24"/>
          <w:szCs w:val="24"/>
        </w:rPr>
        <w:t>должны отбираться проекты, способствующие переходу экономики на качественно иные темпы развития, существенно улучшающие качество жизни населения</w:t>
      </w:r>
      <w:r w:rsidR="00656409">
        <w:rPr>
          <w:rFonts w:ascii="Times New Roman" w:hAnsi="Times New Roman"/>
          <w:sz w:val="24"/>
          <w:szCs w:val="24"/>
        </w:rPr>
        <w:t xml:space="preserve"> (</w:t>
      </w:r>
      <w:r w:rsidR="00656409" w:rsidRPr="00656409">
        <w:rPr>
          <w:rFonts w:ascii="Times New Roman" w:hAnsi="Times New Roman"/>
          <w:sz w:val="24"/>
          <w:szCs w:val="24"/>
        </w:rPr>
        <w:t>проекты в сфере развития городской и цифровой инфраструктуры, межрегиональной связанности и др.</w:t>
      </w:r>
      <w:r w:rsidR="00656409">
        <w:rPr>
          <w:rFonts w:ascii="Times New Roman" w:hAnsi="Times New Roman"/>
          <w:sz w:val="24"/>
          <w:szCs w:val="24"/>
        </w:rPr>
        <w:t>).</w:t>
      </w:r>
    </w:p>
    <w:p w:rsidR="00656409" w:rsidRPr="00656409" w:rsidRDefault="00656409" w:rsidP="00656409">
      <w:pPr>
        <w:pStyle w:val="aa"/>
        <w:spacing w:before="120" w:after="120"/>
        <w:ind w:left="360"/>
        <w:contextualSpacing w:val="0"/>
        <w:jc w:val="both"/>
        <w:rPr>
          <w:rFonts w:ascii="Times New Roman" w:hAnsi="Times New Roman"/>
          <w:sz w:val="24"/>
          <w:szCs w:val="24"/>
        </w:rPr>
      </w:pPr>
      <w:r>
        <w:rPr>
          <w:rFonts w:ascii="Times New Roman" w:hAnsi="Times New Roman"/>
          <w:sz w:val="24"/>
          <w:szCs w:val="24"/>
        </w:rPr>
        <w:t xml:space="preserve">Увеличение бюджетного финансирования также должно позволить придать дополнительный импульс вовлечению частных инвесторов в инфраструктурные проекты. </w:t>
      </w:r>
      <w:r w:rsidRPr="00656409">
        <w:rPr>
          <w:rFonts w:ascii="Times New Roman" w:hAnsi="Times New Roman"/>
          <w:sz w:val="24"/>
          <w:szCs w:val="24"/>
        </w:rPr>
        <w:t>В настоящее время разрабатывается пакет поправок в законодательство о государственно-частном партнерстве с целью обеспечения соинвестирования частных средств в кратном объеме.</w:t>
      </w:r>
    </w:p>
    <w:p w:rsidR="00954CFA" w:rsidRDefault="00954CFA" w:rsidP="006A22F2">
      <w:pPr>
        <w:pStyle w:val="aa"/>
        <w:numPr>
          <w:ilvl w:val="0"/>
          <w:numId w:val="9"/>
        </w:numPr>
        <w:spacing w:before="120" w:after="120"/>
        <w:jc w:val="both"/>
        <w:rPr>
          <w:rFonts w:ascii="Times New Roman" w:hAnsi="Times New Roman"/>
          <w:sz w:val="24"/>
          <w:szCs w:val="24"/>
        </w:rPr>
      </w:pPr>
      <w:r>
        <w:rPr>
          <w:rFonts w:ascii="Times New Roman" w:hAnsi="Times New Roman"/>
          <w:sz w:val="24"/>
          <w:szCs w:val="24"/>
          <w:u w:val="single"/>
        </w:rPr>
        <w:t xml:space="preserve">Налог на </w:t>
      </w:r>
      <w:r w:rsidR="00B60752">
        <w:rPr>
          <w:rFonts w:ascii="Times New Roman" w:hAnsi="Times New Roman"/>
          <w:sz w:val="24"/>
          <w:szCs w:val="24"/>
          <w:u w:val="single"/>
        </w:rPr>
        <w:t>дополнительный</w:t>
      </w:r>
      <w:r>
        <w:rPr>
          <w:rFonts w:ascii="Times New Roman" w:hAnsi="Times New Roman"/>
          <w:sz w:val="24"/>
          <w:szCs w:val="24"/>
          <w:u w:val="single"/>
        </w:rPr>
        <w:t xml:space="preserve"> доход в н</w:t>
      </w:r>
      <w:r w:rsidRPr="00954CFA">
        <w:rPr>
          <w:rFonts w:ascii="Times New Roman" w:hAnsi="Times New Roman"/>
          <w:sz w:val="24"/>
          <w:szCs w:val="24"/>
          <w:u w:val="single"/>
        </w:rPr>
        <w:t>ефтян</w:t>
      </w:r>
      <w:r>
        <w:rPr>
          <w:rFonts w:ascii="Times New Roman" w:hAnsi="Times New Roman"/>
          <w:sz w:val="24"/>
          <w:szCs w:val="24"/>
          <w:u w:val="single"/>
        </w:rPr>
        <w:t>ой</w:t>
      </w:r>
      <w:r w:rsidRPr="00954CFA">
        <w:rPr>
          <w:rFonts w:ascii="Times New Roman" w:hAnsi="Times New Roman"/>
          <w:sz w:val="24"/>
          <w:szCs w:val="24"/>
          <w:u w:val="single"/>
        </w:rPr>
        <w:t xml:space="preserve"> </w:t>
      </w:r>
      <w:r>
        <w:rPr>
          <w:rFonts w:ascii="Times New Roman" w:hAnsi="Times New Roman"/>
          <w:sz w:val="24"/>
          <w:szCs w:val="24"/>
          <w:u w:val="single"/>
        </w:rPr>
        <w:t>отрасли</w:t>
      </w:r>
      <w:r w:rsidRPr="00954CFA">
        <w:rPr>
          <w:rFonts w:ascii="Times New Roman" w:hAnsi="Times New Roman"/>
          <w:sz w:val="24"/>
          <w:szCs w:val="24"/>
        </w:rPr>
        <w:t>.</w:t>
      </w:r>
      <w:r>
        <w:rPr>
          <w:rFonts w:ascii="Times New Roman" w:hAnsi="Times New Roman"/>
          <w:sz w:val="24"/>
          <w:szCs w:val="24"/>
        </w:rPr>
        <w:t xml:space="preserve"> </w:t>
      </w:r>
      <w:r w:rsidRPr="00954CFA">
        <w:rPr>
          <w:rFonts w:ascii="Times New Roman" w:hAnsi="Times New Roman"/>
          <w:sz w:val="24"/>
          <w:szCs w:val="24"/>
        </w:rPr>
        <w:t>В целях стимулирования разработки новых месторождений и рационального недропользования предусматривается введение с 1 января 2019 года нового режима налогообложения для нефтяного сектора – налог на дополнительный доход при добыче углеводородного сырья (далее – НДД), который будет осуществляться в тестовом режиме на отдельных участках недр, расположенных как в традиционных, так и новых регионах нефтедобычи.</w:t>
      </w:r>
    </w:p>
    <w:p w:rsidR="00954CFA" w:rsidRPr="00954CFA" w:rsidRDefault="00954CFA" w:rsidP="00954CFA">
      <w:pPr>
        <w:pStyle w:val="aa"/>
        <w:spacing w:before="120" w:after="120"/>
        <w:ind w:left="360"/>
        <w:jc w:val="both"/>
        <w:rPr>
          <w:rFonts w:ascii="Times New Roman" w:hAnsi="Times New Roman"/>
          <w:sz w:val="24"/>
          <w:szCs w:val="24"/>
        </w:rPr>
      </w:pPr>
      <w:r w:rsidRPr="00954CFA">
        <w:rPr>
          <w:rFonts w:ascii="Times New Roman" w:hAnsi="Times New Roman"/>
          <w:sz w:val="24"/>
          <w:szCs w:val="24"/>
        </w:rPr>
        <w:t xml:space="preserve">Режим НДД предполагает снижение суммарной величины налогов, зависящих от валовых показателей, то есть НДПИ и вывозной таможенной пошлины на нефть, и введение налога на дополнительный доход от добычи углеводородного сырья, величина которого зависит от величины расчетного денежного потока от </w:t>
      </w:r>
      <w:r w:rsidRPr="00954CFA">
        <w:rPr>
          <w:rFonts w:ascii="Times New Roman" w:hAnsi="Times New Roman"/>
          <w:sz w:val="24"/>
          <w:szCs w:val="24"/>
        </w:rPr>
        <w:lastRenderedPageBreak/>
        <w:t>деятельности по разработке отдельного участка недр с учетом сложившихся на мировых рынках цен на углеводородное сырье нефть и фактически понесенных и оплаченных капитальных и операционных затрат на его добычу.</w:t>
      </w:r>
    </w:p>
    <w:p w:rsidR="00954CFA" w:rsidRPr="00954CFA" w:rsidRDefault="00954CFA" w:rsidP="00954CFA">
      <w:pPr>
        <w:pStyle w:val="aa"/>
        <w:spacing w:before="120" w:after="120"/>
        <w:ind w:left="360"/>
        <w:jc w:val="both"/>
        <w:rPr>
          <w:rFonts w:ascii="Times New Roman" w:hAnsi="Times New Roman"/>
          <w:sz w:val="24"/>
          <w:szCs w:val="24"/>
        </w:rPr>
      </w:pPr>
      <w:r w:rsidRPr="00954CFA">
        <w:rPr>
          <w:rFonts w:ascii="Times New Roman" w:hAnsi="Times New Roman"/>
          <w:sz w:val="24"/>
          <w:szCs w:val="24"/>
        </w:rPr>
        <w:t>Данные изменения позволят перераспределить фискальную нагрузку и перенести основную ее часть на более поздние этапы разработки месторождений, то есть после их выхода  на проектную мощность.</w:t>
      </w:r>
    </w:p>
    <w:p w:rsidR="00B60752" w:rsidRDefault="00B60752" w:rsidP="00B60752">
      <w:pPr>
        <w:pStyle w:val="aa"/>
        <w:spacing w:before="120" w:after="120"/>
        <w:ind w:left="360"/>
        <w:contextualSpacing w:val="0"/>
        <w:jc w:val="both"/>
        <w:rPr>
          <w:rFonts w:ascii="Times New Roman" w:hAnsi="Times New Roman"/>
          <w:sz w:val="24"/>
          <w:szCs w:val="24"/>
        </w:rPr>
      </w:pPr>
      <w:r>
        <w:rPr>
          <w:rFonts w:ascii="Times New Roman" w:hAnsi="Times New Roman"/>
          <w:sz w:val="24"/>
          <w:szCs w:val="24"/>
        </w:rPr>
        <w:t>При этом ожидается, что о</w:t>
      </w:r>
      <w:r w:rsidRPr="00954CFA">
        <w:rPr>
          <w:rFonts w:ascii="Times New Roman" w:hAnsi="Times New Roman"/>
          <w:sz w:val="24"/>
          <w:szCs w:val="24"/>
        </w:rPr>
        <w:t xml:space="preserve">бщий объем нефти, добываемой с применений системы налогообложения в виде НДД, </w:t>
      </w:r>
      <w:r>
        <w:rPr>
          <w:rFonts w:ascii="Times New Roman" w:hAnsi="Times New Roman"/>
          <w:sz w:val="24"/>
          <w:szCs w:val="24"/>
        </w:rPr>
        <w:t>к 2024 году</w:t>
      </w:r>
      <w:r w:rsidRPr="00954CFA">
        <w:rPr>
          <w:rFonts w:ascii="Times New Roman" w:hAnsi="Times New Roman"/>
          <w:sz w:val="24"/>
          <w:szCs w:val="24"/>
        </w:rPr>
        <w:t xml:space="preserve"> составит порядка 5 процентов от общей нефтедобычи в России.</w:t>
      </w:r>
    </w:p>
    <w:p w:rsidR="00954CFA" w:rsidRDefault="00954CFA" w:rsidP="00954CFA">
      <w:pPr>
        <w:pStyle w:val="aa"/>
        <w:spacing w:before="120" w:after="120"/>
        <w:ind w:left="360"/>
        <w:contextualSpacing w:val="0"/>
        <w:jc w:val="both"/>
        <w:rPr>
          <w:rFonts w:ascii="Times New Roman" w:hAnsi="Times New Roman"/>
          <w:sz w:val="24"/>
          <w:szCs w:val="24"/>
        </w:rPr>
      </w:pPr>
      <w:r w:rsidRPr="00954CFA">
        <w:rPr>
          <w:rFonts w:ascii="Times New Roman" w:hAnsi="Times New Roman"/>
          <w:sz w:val="24"/>
          <w:szCs w:val="24"/>
        </w:rPr>
        <w:t>В зависимости от результатов по внедрению НДД на пилотных проектах будет приниматься решение о корректировке и расширении периметра его применения.</w:t>
      </w:r>
    </w:p>
    <w:p w:rsidR="00B60752" w:rsidRPr="00B60752" w:rsidRDefault="00B60752" w:rsidP="00B60752">
      <w:pPr>
        <w:pStyle w:val="aa"/>
        <w:numPr>
          <w:ilvl w:val="0"/>
          <w:numId w:val="9"/>
        </w:numPr>
        <w:jc w:val="both"/>
        <w:rPr>
          <w:rFonts w:ascii="Times New Roman" w:hAnsi="Times New Roman"/>
          <w:sz w:val="24"/>
          <w:szCs w:val="24"/>
        </w:rPr>
      </w:pPr>
      <w:r w:rsidRPr="00B60752">
        <w:rPr>
          <w:rFonts w:ascii="Times New Roman" w:hAnsi="Times New Roman"/>
          <w:sz w:val="24"/>
          <w:szCs w:val="24"/>
          <w:u w:val="single"/>
        </w:rPr>
        <w:t>Завершение нефтегазового налогового маневра.</w:t>
      </w:r>
      <w:r w:rsidRPr="00B60752">
        <w:rPr>
          <w:rFonts w:ascii="Times New Roman" w:hAnsi="Times New Roman"/>
          <w:sz w:val="24"/>
          <w:szCs w:val="24"/>
        </w:rPr>
        <w:t xml:space="preserve"> Маневром предусматривается равномерное – на протяжении 5 лет, начиная с  1 января 2019 года, -  снижение экспортной пошлины на нефть и нефтепродукты, с равнозначным повышением ставки НДПИ и введением объективных критериев для НПЗ, которым будет оказана финансовая поддержка через механизм представления отрицательного акциза.</w:t>
      </w:r>
    </w:p>
    <w:p w:rsidR="00B60752" w:rsidRPr="001B145F" w:rsidRDefault="00B60752" w:rsidP="00B60752">
      <w:pPr>
        <w:pStyle w:val="aa"/>
        <w:spacing w:before="120" w:after="120"/>
        <w:ind w:left="360"/>
        <w:jc w:val="both"/>
        <w:rPr>
          <w:rFonts w:ascii="Times New Roman" w:hAnsi="Times New Roman"/>
          <w:sz w:val="24"/>
          <w:szCs w:val="24"/>
        </w:rPr>
      </w:pPr>
      <w:r w:rsidRPr="001B145F">
        <w:rPr>
          <w:rFonts w:ascii="Times New Roman" w:hAnsi="Times New Roman"/>
          <w:sz w:val="24"/>
          <w:szCs w:val="24"/>
        </w:rPr>
        <w:t>Основная задача предлагаемых изменений - постепенный переход к исключительно рентному налогообложению и перевод неявных субсидий в явные с настройкой механизмов повышения их эффективности.</w:t>
      </w:r>
      <w:r>
        <w:rPr>
          <w:rFonts w:ascii="Times New Roman" w:hAnsi="Times New Roman"/>
          <w:sz w:val="24"/>
          <w:szCs w:val="24"/>
        </w:rPr>
        <w:t xml:space="preserve"> </w:t>
      </w:r>
      <w:r w:rsidR="00B056F4" w:rsidRPr="00B056F4">
        <w:rPr>
          <w:rFonts w:ascii="Times New Roman" w:hAnsi="Times New Roman"/>
          <w:sz w:val="24"/>
          <w:szCs w:val="24"/>
        </w:rPr>
        <w:t>При этом это позволит обеспечить: (1) модернизацию нефтеперерабатывающего сектора и обеспечение внутреннего рынка высококачественными нефтепродуктами;</w:t>
      </w:r>
      <w:r w:rsidRPr="001B145F">
        <w:rPr>
          <w:rFonts w:ascii="Times New Roman" w:hAnsi="Times New Roman"/>
          <w:sz w:val="24"/>
          <w:szCs w:val="24"/>
        </w:rPr>
        <w:t xml:space="preserve"> (2) гладкий (постепенный в течение 6 лет) переход к единому </w:t>
      </w:r>
      <w:r>
        <w:rPr>
          <w:rFonts w:ascii="Times New Roman" w:hAnsi="Times New Roman"/>
          <w:sz w:val="24"/>
          <w:szCs w:val="24"/>
        </w:rPr>
        <w:t>топливному</w:t>
      </w:r>
      <w:r w:rsidRPr="001B145F">
        <w:rPr>
          <w:rFonts w:ascii="Times New Roman" w:hAnsi="Times New Roman"/>
          <w:sz w:val="24"/>
          <w:szCs w:val="24"/>
        </w:rPr>
        <w:t xml:space="preserve"> рынку на территории ЕАЭС</w:t>
      </w:r>
      <w:r>
        <w:rPr>
          <w:rFonts w:ascii="Times New Roman" w:hAnsi="Times New Roman"/>
          <w:sz w:val="24"/>
          <w:szCs w:val="24"/>
        </w:rPr>
        <w:t>.</w:t>
      </w:r>
    </w:p>
    <w:p w:rsidR="00B60752" w:rsidRPr="001B145F" w:rsidRDefault="00B60752" w:rsidP="00B60752">
      <w:pPr>
        <w:pStyle w:val="aa"/>
        <w:spacing w:before="120" w:after="120"/>
        <w:ind w:left="360"/>
        <w:jc w:val="both"/>
        <w:rPr>
          <w:rFonts w:ascii="Times New Roman" w:hAnsi="Times New Roman"/>
          <w:sz w:val="24"/>
          <w:szCs w:val="24"/>
        </w:rPr>
      </w:pPr>
      <w:r w:rsidRPr="001B145F">
        <w:rPr>
          <w:rFonts w:ascii="Times New Roman" w:hAnsi="Times New Roman"/>
          <w:sz w:val="24"/>
          <w:szCs w:val="24"/>
        </w:rPr>
        <w:t xml:space="preserve">Кроме того, в формулу отрицательного акциза на нефть предлагается ввести </w:t>
      </w:r>
      <w:r>
        <w:rPr>
          <w:rFonts w:ascii="Times New Roman" w:hAnsi="Times New Roman"/>
          <w:sz w:val="24"/>
          <w:szCs w:val="24"/>
        </w:rPr>
        <w:t xml:space="preserve">демпфирующую </w:t>
      </w:r>
      <w:r w:rsidRPr="001B145F">
        <w:rPr>
          <w:rFonts w:ascii="Times New Roman" w:hAnsi="Times New Roman"/>
          <w:sz w:val="24"/>
          <w:szCs w:val="24"/>
        </w:rPr>
        <w:t xml:space="preserve">компоненту, которая в автоматическом режиме </w:t>
      </w:r>
      <w:r>
        <w:rPr>
          <w:rFonts w:ascii="Times New Roman" w:hAnsi="Times New Roman"/>
          <w:sz w:val="24"/>
          <w:szCs w:val="24"/>
        </w:rPr>
        <w:t>позволяет регулировать уровень налоговой нагрузки при реализации нефтепродуктов на внутреннем рынке. Это</w:t>
      </w:r>
      <w:r w:rsidR="00B056F4">
        <w:rPr>
          <w:rFonts w:ascii="Times New Roman" w:hAnsi="Times New Roman"/>
          <w:sz w:val="24"/>
          <w:szCs w:val="24"/>
        </w:rPr>
        <w:t xml:space="preserve"> позволит</w:t>
      </w:r>
      <w:r w:rsidRPr="001B145F">
        <w:rPr>
          <w:rFonts w:ascii="Times New Roman" w:hAnsi="Times New Roman"/>
          <w:sz w:val="24"/>
          <w:szCs w:val="24"/>
        </w:rPr>
        <w:t>: (1) сгладить волатильность цен на внутреннем рынке на долгосрочную перспективу, и (2) повысить сниженные в 2018 году ставки акциза на бензин и дизельное топливо до уровня, обеспечивающего отсутствие потерь региональных дорожных фондов.</w:t>
      </w:r>
    </w:p>
    <w:p w:rsidR="001B145F" w:rsidRDefault="001B145F" w:rsidP="001B145F">
      <w:pPr>
        <w:spacing w:before="120" w:after="120"/>
        <w:jc w:val="both"/>
        <w:rPr>
          <w:rFonts w:ascii="Times New Roman" w:hAnsi="Times New Roman"/>
          <w:sz w:val="24"/>
          <w:szCs w:val="24"/>
        </w:rPr>
      </w:pPr>
      <w:r>
        <w:rPr>
          <w:rFonts w:ascii="Times New Roman" w:hAnsi="Times New Roman"/>
          <w:b/>
          <w:sz w:val="28"/>
          <w:szCs w:val="24"/>
        </w:rPr>
        <w:t>Справедливая конкурентная среда и с</w:t>
      </w:r>
      <w:r w:rsidRPr="00D02C11">
        <w:rPr>
          <w:rFonts w:ascii="Times New Roman" w:hAnsi="Times New Roman"/>
          <w:b/>
          <w:sz w:val="28"/>
          <w:szCs w:val="24"/>
        </w:rPr>
        <w:t>окращение теневого сектора</w:t>
      </w:r>
    </w:p>
    <w:p w:rsidR="00200F14" w:rsidRDefault="001B145F" w:rsidP="001B145F">
      <w:pPr>
        <w:spacing w:before="120" w:after="120"/>
        <w:jc w:val="both"/>
        <w:rPr>
          <w:rFonts w:ascii="Times New Roman" w:hAnsi="Times New Roman"/>
          <w:sz w:val="24"/>
          <w:szCs w:val="24"/>
        </w:rPr>
      </w:pPr>
      <w:r>
        <w:rPr>
          <w:rFonts w:ascii="Times New Roman" w:hAnsi="Times New Roman"/>
          <w:sz w:val="24"/>
          <w:szCs w:val="24"/>
        </w:rPr>
        <w:t>В 20</w:t>
      </w:r>
      <w:r w:rsidR="00200F14">
        <w:rPr>
          <w:rFonts w:ascii="Times New Roman" w:hAnsi="Times New Roman"/>
          <w:sz w:val="24"/>
          <w:szCs w:val="24"/>
        </w:rPr>
        <w:t xml:space="preserve">19-2021 гг. планируется продолжить реализацию комплекса мер по </w:t>
      </w:r>
      <w:r w:rsidR="00200F14" w:rsidRPr="00200F14">
        <w:rPr>
          <w:rFonts w:ascii="Times New Roman" w:hAnsi="Times New Roman"/>
          <w:sz w:val="24"/>
          <w:szCs w:val="24"/>
          <w:u w:val="single"/>
        </w:rPr>
        <w:t>улучшению администрирования доходов бюджетной системы</w:t>
      </w:r>
      <w:r w:rsidR="00200F14">
        <w:rPr>
          <w:rFonts w:ascii="Times New Roman" w:hAnsi="Times New Roman"/>
          <w:sz w:val="24"/>
          <w:szCs w:val="24"/>
        </w:rPr>
        <w:t xml:space="preserve">, в том числе за счет дальнейшей цифровизации налогового администрирования </w:t>
      </w:r>
      <w:r w:rsidR="00200F14" w:rsidRPr="00200F14">
        <w:rPr>
          <w:rFonts w:ascii="Times New Roman" w:hAnsi="Times New Roman"/>
          <w:sz w:val="24"/>
          <w:szCs w:val="24"/>
        </w:rPr>
        <w:t>и интеграци</w:t>
      </w:r>
      <w:r w:rsidR="00200F14">
        <w:rPr>
          <w:rFonts w:ascii="Times New Roman" w:hAnsi="Times New Roman"/>
          <w:sz w:val="24"/>
          <w:szCs w:val="24"/>
        </w:rPr>
        <w:t>и</w:t>
      </w:r>
      <w:r w:rsidR="00200F14" w:rsidRPr="00200F14">
        <w:rPr>
          <w:rFonts w:ascii="Times New Roman" w:hAnsi="Times New Roman"/>
          <w:sz w:val="24"/>
          <w:szCs w:val="24"/>
        </w:rPr>
        <w:t xml:space="preserve"> всех источников информации и потоков данных в единое информационное пространство с последующей автоматизацией ее анализа на основе внедрения современных технологий обработки больших массивов</w:t>
      </w:r>
      <w:r w:rsidR="00200F14">
        <w:rPr>
          <w:rFonts w:ascii="Times New Roman" w:hAnsi="Times New Roman"/>
          <w:sz w:val="24"/>
          <w:szCs w:val="24"/>
        </w:rPr>
        <w:t>.</w:t>
      </w:r>
    </w:p>
    <w:p w:rsidR="00B60752" w:rsidRDefault="00B60752" w:rsidP="00B60752">
      <w:pPr>
        <w:spacing w:before="120" w:after="120"/>
        <w:jc w:val="both"/>
        <w:rPr>
          <w:rFonts w:ascii="Times New Roman" w:hAnsi="Times New Roman"/>
          <w:sz w:val="24"/>
          <w:szCs w:val="24"/>
        </w:rPr>
      </w:pPr>
      <w:r>
        <w:rPr>
          <w:rFonts w:ascii="Times New Roman" w:hAnsi="Times New Roman"/>
          <w:sz w:val="24"/>
          <w:szCs w:val="24"/>
        </w:rPr>
        <w:t>При этом особое внимание будет уделено повышению соб</w:t>
      </w:r>
      <w:r w:rsidRPr="00200F14">
        <w:rPr>
          <w:rFonts w:ascii="Times New Roman" w:hAnsi="Times New Roman"/>
          <w:i/>
          <w:sz w:val="24"/>
          <w:szCs w:val="24"/>
        </w:rPr>
        <w:t>ираемости зарплатных налогов</w:t>
      </w:r>
      <w:r>
        <w:rPr>
          <w:rFonts w:ascii="Times New Roman" w:hAnsi="Times New Roman"/>
          <w:sz w:val="24"/>
          <w:szCs w:val="24"/>
        </w:rPr>
        <w:t xml:space="preserve">, а также </w:t>
      </w:r>
      <w:r w:rsidRPr="00200F14">
        <w:rPr>
          <w:rFonts w:ascii="Times New Roman" w:hAnsi="Times New Roman"/>
          <w:i/>
          <w:sz w:val="24"/>
          <w:szCs w:val="24"/>
        </w:rPr>
        <w:t>созданию единой информационной  среды  налоговых и таможенных органов</w:t>
      </w:r>
      <w:r w:rsidRPr="00200F14">
        <w:rPr>
          <w:rFonts w:ascii="Times New Roman" w:hAnsi="Times New Roman"/>
          <w:sz w:val="24"/>
          <w:szCs w:val="24"/>
        </w:rPr>
        <w:t xml:space="preserve"> </w:t>
      </w:r>
      <w:r>
        <w:rPr>
          <w:rFonts w:ascii="Times New Roman" w:hAnsi="Times New Roman"/>
          <w:sz w:val="24"/>
          <w:szCs w:val="24"/>
        </w:rPr>
        <w:t xml:space="preserve">включая </w:t>
      </w:r>
      <w:r w:rsidRPr="00200F14">
        <w:rPr>
          <w:rFonts w:ascii="Times New Roman" w:hAnsi="Times New Roman"/>
          <w:sz w:val="24"/>
          <w:szCs w:val="24"/>
        </w:rPr>
        <w:t>един</w:t>
      </w:r>
      <w:r>
        <w:rPr>
          <w:rFonts w:ascii="Times New Roman" w:hAnsi="Times New Roman"/>
          <w:sz w:val="24"/>
          <w:szCs w:val="24"/>
        </w:rPr>
        <w:t>ый</w:t>
      </w:r>
      <w:r w:rsidRPr="00200F14">
        <w:rPr>
          <w:rFonts w:ascii="Times New Roman" w:hAnsi="Times New Roman"/>
          <w:sz w:val="24"/>
          <w:szCs w:val="24"/>
        </w:rPr>
        <w:t xml:space="preserve"> механизм сквозного контроля  на всех этапах  оборота импортных товаров, подлежащих прослеживаемости.  Особенностью системы прослеживаемости будет являться полностью электронный </w:t>
      </w:r>
      <w:r w:rsidRPr="00B60752">
        <w:rPr>
          <w:rFonts w:ascii="Times New Roman" w:hAnsi="Times New Roman"/>
          <w:sz w:val="24"/>
          <w:szCs w:val="24"/>
        </w:rPr>
        <w:t xml:space="preserve">документооборот счетов-фактур и универсального передаточного документа между уполномоченным </w:t>
      </w:r>
      <w:r w:rsidRPr="00B60752">
        <w:rPr>
          <w:rFonts w:ascii="Times New Roman" w:hAnsi="Times New Roman"/>
          <w:sz w:val="24"/>
          <w:szCs w:val="24"/>
        </w:rPr>
        <w:lastRenderedPageBreak/>
        <w:t>федеральным орган</w:t>
      </w:r>
      <w:r w:rsidR="00B056F4">
        <w:rPr>
          <w:rFonts w:ascii="Times New Roman" w:hAnsi="Times New Roman"/>
          <w:sz w:val="24"/>
          <w:szCs w:val="24"/>
        </w:rPr>
        <w:t>ом</w:t>
      </w:r>
      <w:r w:rsidRPr="00B60752">
        <w:rPr>
          <w:rFonts w:ascii="Times New Roman" w:hAnsi="Times New Roman"/>
          <w:sz w:val="24"/>
          <w:szCs w:val="24"/>
        </w:rPr>
        <w:t xml:space="preserve"> исполнительной власти по созданию, внедрению и сопровождению национальной системы прослеживаемости, и налогоплательщиками, в том числе применяющими специальные режимы налогообложения, при продаже импортных </w:t>
      </w:r>
      <w:r w:rsidRPr="00200F14">
        <w:rPr>
          <w:rFonts w:ascii="Times New Roman" w:hAnsi="Times New Roman"/>
          <w:sz w:val="24"/>
          <w:szCs w:val="24"/>
        </w:rPr>
        <w:t>товаров</w:t>
      </w:r>
      <w:r>
        <w:rPr>
          <w:rFonts w:ascii="Times New Roman" w:hAnsi="Times New Roman"/>
          <w:sz w:val="24"/>
          <w:szCs w:val="24"/>
        </w:rPr>
        <w:t>.</w:t>
      </w:r>
    </w:p>
    <w:p w:rsidR="00200F14" w:rsidRDefault="00200F14" w:rsidP="001B145F">
      <w:pPr>
        <w:spacing w:before="120" w:after="120"/>
        <w:jc w:val="both"/>
        <w:rPr>
          <w:rFonts w:ascii="Times New Roman" w:hAnsi="Times New Roman"/>
          <w:sz w:val="24"/>
          <w:szCs w:val="24"/>
        </w:rPr>
      </w:pPr>
      <w:r>
        <w:rPr>
          <w:rFonts w:ascii="Times New Roman" w:hAnsi="Times New Roman"/>
          <w:sz w:val="24"/>
          <w:szCs w:val="24"/>
        </w:rPr>
        <w:t>Дальнейшая цифровизация администрирования с одной стороны станет одним из наиболее эффективных инструментов пресечения неформальных практик, а с другой стороны позволит существенно упростить и облегчить взаимодействие между государством и добросовестными налогоплательщиками. В том числе указанные меры будут содействовать решению задачи по оптимизации форм налоговой отчетности.</w:t>
      </w:r>
    </w:p>
    <w:p w:rsidR="00200F14" w:rsidRPr="00200F14" w:rsidRDefault="00200F14" w:rsidP="00200F14">
      <w:pPr>
        <w:spacing w:before="120" w:after="120"/>
        <w:jc w:val="both"/>
        <w:rPr>
          <w:rFonts w:ascii="Times New Roman" w:hAnsi="Times New Roman"/>
          <w:sz w:val="24"/>
          <w:szCs w:val="24"/>
        </w:rPr>
      </w:pPr>
      <w:r>
        <w:rPr>
          <w:rFonts w:ascii="Times New Roman" w:hAnsi="Times New Roman"/>
          <w:sz w:val="24"/>
          <w:szCs w:val="24"/>
        </w:rPr>
        <w:t>Кроме того, будет продолжена реализация п</w:t>
      </w:r>
      <w:r w:rsidRPr="00200F14">
        <w:rPr>
          <w:rFonts w:ascii="Times New Roman" w:hAnsi="Times New Roman"/>
          <w:sz w:val="24"/>
          <w:szCs w:val="24"/>
        </w:rPr>
        <w:t xml:space="preserve">лана по </w:t>
      </w:r>
      <w:r w:rsidRPr="00200F14">
        <w:rPr>
          <w:rFonts w:ascii="Times New Roman" w:hAnsi="Times New Roman"/>
          <w:i/>
          <w:sz w:val="24"/>
          <w:szCs w:val="24"/>
        </w:rPr>
        <w:t>противодействию размыванию налоговой базы и выводу прибыли из-под налогообложения</w:t>
      </w:r>
      <w:r w:rsidRPr="00200F14">
        <w:rPr>
          <w:rFonts w:ascii="Times New Roman" w:hAnsi="Times New Roman"/>
          <w:sz w:val="24"/>
          <w:szCs w:val="24"/>
        </w:rPr>
        <w:t xml:space="preserve"> (План BEPS) и обеспечению перехода к автоматическому обмену налоговой информацией. Реализация Плана BEPS направлена на повышение транспарентности деятельности налогоплательщиков, обеспечение открытости и конкурентоспособности российской налоговой системы с тем, чтобы в максимальной степени отвечать на новые вызовы, связанные с размыванием налогооблагаемой базы или уклонением от уплаты налогов.</w:t>
      </w:r>
    </w:p>
    <w:p w:rsidR="00B60752" w:rsidRPr="00200F14" w:rsidRDefault="00B60752" w:rsidP="00B60752">
      <w:pPr>
        <w:spacing w:before="120" w:after="120"/>
        <w:jc w:val="both"/>
        <w:rPr>
          <w:rFonts w:ascii="Times New Roman" w:hAnsi="Times New Roman"/>
          <w:sz w:val="24"/>
          <w:szCs w:val="24"/>
        </w:rPr>
      </w:pPr>
      <w:r w:rsidRPr="001F4447">
        <w:rPr>
          <w:rFonts w:ascii="Times New Roman" w:hAnsi="Times New Roman"/>
          <w:sz w:val="24"/>
          <w:szCs w:val="24"/>
        </w:rPr>
        <w:t xml:space="preserve">Будет также продолжена работа по переходу к </w:t>
      </w:r>
      <w:r w:rsidRPr="001F4447">
        <w:rPr>
          <w:rFonts w:ascii="Times New Roman" w:hAnsi="Times New Roman"/>
          <w:i/>
          <w:sz w:val="24"/>
          <w:szCs w:val="24"/>
        </w:rPr>
        <w:t xml:space="preserve">налогообложению объектов недвижимого имущества </w:t>
      </w:r>
      <w:r>
        <w:rPr>
          <w:rFonts w:ascii="Times New Roman" w:hAnsi="Times New Roman"/>
          <w:i/>
          <w:sz w:val="24"/>
          <w:szCs w:val="24"/>
        </w:rPr>
        <w:t xml:space="preserve">физических лиц </w:t>
      </w:r>
      <w:r w:rsidRPr="001F4447">
        <w:rPr>
          <w:rFonts w:ascii="Times New Roman" w:hAnsi="Times New Roman"/>
          <w:i/>
          <w:sz w:val="24"/>
          <w:szCs w:val="24"/>
        </w:rPr>
        <w:t>исходя из их кадастровой стоимости</w:t>
      </w:r>
      <w:r>
        <w:rPr>
          <w:rFonts w:ascii="Times New Roman" w:hAnsi="Times New Roman"/>
          <w:sz w:val="24"/>
          <w:szCs w:val="24"/>
        </w:rPr>
        <w:t>. При этом планируется</w:t>
      </w:r>
      <w:r w:rsidRPr="001F4447">
        <w:rPr>
          <w:rFonts w:ascii="Times New Roman" w:hAnsi="Times New Roman"/>
          <w:sz w:val="24"/>
          <w:szCs w:val="24"/>
        </w:rPr>
        <w:t xml:space="preserve"> установ</w:t>
      </w:r>
      <w:r>
        <w:rPr>
          <w:rFonts w:ascii="Times New Roman" w:hAnsi="Times New Roman"/>
          <w:sz w:val="24"/>
          <w:szCs w:val="24"/>
        </w:rPr>
        <w:t>ление</w:t>
      </w:r>
      <w:r w:rsidRPr="001F4447">
        <w:rPr>
          <w:rFonts w:ascii="Times New Roman" w:hAnsi="Times New Roman"/>
          <w:sz w:val="24"/>
          <w:szCs w:val="24"/>
        </w:rPr>
        <w:t xml:space="preserve"> коэффициент</w:t>
      </w:r>
      <w:r>
        <w:rPr>
          <w:rFonts w:ascii="Times New Roman" w:hAnsi="Times New Roman"/>
          <w:sz w:val="24"/>
          <w:szCs w:val="24"/>
        </w:rPr>
        <w:t>а</w:t>
      </w:r>
      <w:r w:rsidRPr="001F4447">
        <w:rPr>
          <w:rFonts w:ascii="Times New Roman" w:hAnsi="Times New Roman"/>
          <w:sz w:val="24"/>
          <w:szCs w:val="24"/>
        </w:rPr>
        <w:t>, ограничивающ</w:t>
      </w:r>
      <w:r>
        <w:rPr>
          <w:rFonts w:ascii="Times New Roman" w:hAnsi="Times New Roman"/>
          <w:sz w:val="24"/>
          <w:szCs w:val="24"/>
        </w:rPr>
        <w:t>его</w:t>
      </w:r>
      <w:r w:rsidRPr="001F4447">
        <w:rPr>
          <w:rFonts w:ascii="Times New Roman" w:hAnsi="Times New Roman"/>
          <w:sz w:val="24"/>
          <w:szCs w:val="24"/>
        </w:rPr>
        <w:t xml:space="preserve"> ежегодное увеличение суммы налога</w:t>
      </w:r>
      <w:r>
        <w:rPr>
          <w:rFonts w:ascii="Times New Roman" w:hAnsi="Times New Roman"/>
          <w:sz w:val="24"/>
          <w:szCs w:val="24"/>
        </w:rPr>
        <w:t xml:space="preserve"> </w:t>
      </w:r>
      <w:r w:rsidRPr="001F4447">
        <w:rPr>
          <w:rFonts w:ascii="Times New Roman" w:hAnsi="Times New Roman"/>
          <w:sz w:val="24"/>
          <w:szCs w:val="24"/>
        </w:rPr>
        <w:t xml:space="preserve">на имущество физических лиц, исчисляемого на основании кадастровой стоимости, не более чем на 10 процентов по сравнению с предыдущим годом на территориях </w:t>
      </w:r>
      <w:r>
        <w:rPr>
          <w:rFonts w:ascii="Times New Roman" w:hAnsi="Times New Roman"/>
          <w:sz w:val="24"/>
          <w:szCs w:val="24"/>
        </w:rPr>
        <w:t>тех</w:t>
      </w:r>
      <w:r w:rsidRPr="001F4447">
        <w:rPr>
          <w:rFonts w:ascii="Times New Roman" w:hAnsi="Times New Roman"/>
          <w:sz w:val="24"/>
          <w:szCs w:val="24"/>
        </w:rPr>
        <w:t xml:space="preserve"> регионов, </w:t>
      </w:r>
      <w:r w:rsidR="00B056F4">
        <w:rPr>
          <w:rFonts w:ascii="Times New Roman" w:hAnsi="Times New Roman"/>
          <w:sz w:val="24"/>
          <w:szCs w:val="24"/>
        </w:rPr>
        <w:t>в которых</w:t>
      </w:r>
      <w:r w:rsidRPr="001F4447">
        <w:rPr>
          <w:rFonts w:ascii="Times New Roman" w:hAnsi="Times New Roman"/>
          <w:sz w:val="24"/>
          <w:szCs w:val="24"/>
        </w:rPr>
        <w:t xml:space="preserve"> исчисление налога осуществляется с коэффициентом 0,6.</w:t>
      </w:r>
    </w:p>
    <w:p w:rsidR="00B60752" w:rsidRPr="00200F14" w:rsidRDefault="00B60752" w:rsidP="00B60752">
      <w:pPr>
        <w:spacing w:before="120" w:after="120"/>
        <w:jc w:val="both"/>
        <w:rPr>
          <w:rFonts w:ascii="Times New Roman" w:hAnsi="Times New Roman"/>
          <w:sz w:val="24"/>
          <w:szCs w:val="24"/>
        </w:rPr>
      </w:pPr>
      <w:r w:rsidRPr="00200F14">
        <w:rPr>
          <w:rFonts w:ascii="Times New Roman" w:hAnsi="Times New Roman"/>
          <w:sz w:val="24"/>
          <w:szCs w:val="24"/>
          <w:u w:val="single"/>
        </w:rPr>
        <w:t>Меры налоговой политики, направленные на облегчение администрирования</w:t>
      </w:r>
      <w:r w:rsidRPr="00200F14">
        <w:rPr>
          <w:rFonts w:ascii="Times New Roman" w:hAnsi="Times New Roman"/>
          <w:sz w:val="24"/>
          <w:szCs w:val="24"/>
        </w:rPr>
        <w:t xml:space="preserve"> и снижение административных издержек:</w:t>
      </w:r>
    </w:p>
    <w:p w:rsidR="00B60752" w:rsidRPr="002B5E19" w:rsidRDefault="00B60752" w:rsidP="00B60752">
      <w:pPr>
        <w:pStyle w:val="aa"/>
        <w:numPr>
          <w:ilvl w:val="0"/>
          <w:numId w:val="9"/>
        </w:numPr>
        <w:spacing w:before="120" w:after="120"/>
        <w:ind w:left="357" w:hanging="357"/>
        <w:contextualSpacing w:val="0"/>
        <w:jc w:val="both"/>
        <w:rPr>
          <w:rFonts w:ascii="Times New Roman" w:hAnsi="Times New Roman"/>
          <w:sz w:val="24"/>
          <w:szCs w:val="24"/>
        </w:rPr>
      </w:pPr>
      <w:r w:rsidRPr="00795E23">
        <w:rPr>
          <w:rFonts w:ascii="Times New Roman" w:hAnsi="Times New Roman"/>
          <w:sz w:val="24"/>
          <w:szCs w:val="24"/>
        </w:rPr>
        <w:t xml:space="preserve">Для обеспечения благоприятных условий деятельности </w:t>
      </w:r>
      <w:r>
        <w:rPr>
          <w:rFonts w:ascii="Times New Roman" w:hAnsi="Times New Roman"/>
          <w:sz w:val="24"/>
          <w:szCs w:val="24"/>
        </w:rPr>
        <w:t xml:space="preserve">малого бизнеса </w:t>
      </w:r>
      <w:r w:rsidRPr="00795E23">
        <w:rPr>
          <w:rFonts w:ascii="Times New Roman" w:hAnsi="Times New Roman"/>
          <w:sz w:val="24"/>
          <w:szCs w:val="24"/>
        </w:rPr>
        <w:t xml:space="preserve">будет разработан новый </w:t>
      </w:r>
      <w:r w:rsidRPr="00795E23">
        <w:rPr>
          <w:rFonts w:ascii="Times New Roman" w:hAnsi="Times New Roman"/>
          <w:sz w:val="24"/>
          <w:szCs w:val="24"/>
          <w:u w:val="single"/>
        </w:rPr>
        <w:t>специальный налоговый режим</w:t>
      </w:r>
      <w:r w:rsidRPr="00795E23">
        <w:rPr>
          <w:rFonts w:ascii="Times New Roman" w:hAnsi="Times New Roman"/>
          <w:sz w:val="24"/>
          <w:szCs w:val="24"/>
        </w:rPr>
        <w:t xml:space="preserve"> – система налогообложения в виде налога на профессиональный доход, апробаци</w:t>
      </w:r>
      <w:r>
        <w:rPr>
          <w:rFonts w:ascii="Times New Roman" w:hAnsi="Times New Roman"/>
          <w:sz w:val="24"/>
          <w:szCs w:val="24"/>
        </w:rPr>
        <w:t>ю</w:t>
      </w:r>
      <w:r w:rsidRPr="00795E23">
        <w:rPr>
          <w:rFonts w:ascii="Times New Roman" w:hAnsi="Times New Roman"/>
          <w:sz w:val="24"/>
          <w:szCs w:val="24"/>
        </w:rPr>
        <w:t xml:space="preserve"> которого планируется </w:t>
      </w:r>
      <w:r>
        <w:rPr>
          <w:rFonts w:ascii="Times New Roman" w:hAnsi="Times New Roman"/>
          <w:sz w:val="24"/>
          <w:szCs w:val="24"/>
        </w:rPr>
        <w:t xml:space="preserve">провести с 2019 года </w:t>
      </w:r>
      <w:r w:rsidRPr="00795E23">
        <w:rPr>
          <w:rFonts w:ascii="Times New Roman" w:hAnsi="Times New Roman"/>
          <w:sz w:val="24"/>
          <w:szCs w:val="24"/>
        </w:rPr>
        <w:t>в пилотных субъектах Российской Федерации.</w:t>
      </w:r>
    </w:p>
    <w:p w:rsidR="00B60752" w:rsidRDefault="00B60752" w:rsidP="00B60752">
      <w:pPr>
        <w:pStyle w:val="aa"/>
        <w:numPr>
          <w:ilvl w:val="0"/>
          <w:numId w:val="9"/>
        </w:numPr>
        <w:spacing w:before="120" w:after="120"/>
        <w:contextualSpacing w:val="0"/>
        <w:jc w:val="both"/>
        <w:rPr>
          <w:rFonts w:ascii="Times New Roman" w:hAnsi="Times New Roman"/>
          <w:sz w:val="24"/>
          <w:szCs w:val="24"/>
        </w:rPr>
      </w:pPr>
      <w:r w:rsidRPr="00D6095F">
        <w:rPr>
          <w:rFonts w:ascii="Times New Roman" w:hAnsi="Times New Roman"/>
          <w:sz w:val="24"/>
          <w:szCs w:val="24"/>
          <w:u w:val="single"/>
        </w:rPr>
        <w:t xml:space="preserve">Продление моратория на функционирование </w:t>
      </w:r>
      <w:r>
        <w:rPr>
          <w:rFonts w:ascii="Times New Roman" w:hAnsi="Times New Roman"/>
          <w:sz w:val="24"/>
          <w:szCs w:val="24"/>
          <w:u w:val="single"/>
        </w:rPr>
        <w:t xml:space="preserve">института </w:t>
      </w:r>
      <w:r w:rsidRPr="002B5E19">
        <w:rPr>
          <w:rFonts w:ascii="Times New Roman" w:hAnsi="Times New Roman"/>
          <w:sz w:val="24"/>
          <w:szCs w:val="24"/>
          <w:u w:val="single"/>
        </w:rPr>
        <w:t>КГН</w:t>
      </w:r>
      <w:r>
        <w:rPr>
          <w:rFonts w:ascii="Times New Roman" w:hAnsi="Times New Roman"/>
          <w:sz w:val="24"/>
          <w:szCs w:val="24"/>
        </w:rPr>
        <w:t xml:space="preserve"> </w:t>
      </w:r>
      <w:r w:rsidRPr="005F3A74">
        <w:rPr>
          <w:rFonts w:ascii="Times New Roman" w:hAnsi="Times New Roman"/>
          <w:sz w:val="24"/>
          <w:szCs w:val="24"/>
        </w:rPr>
        <w:t xml:space="preserve">(с ограничением срока действия такого института) </w:t>
      </w:r>
      <w:r>
        <w:rPr>
          <w:rFonts w:ascii="Times New Roman" w:hAnsi="Times New Roman"/>
          <w:sz w:val="24"/>
          <w:szCs w:val="24"/>
        </w:rPr>
        <w:t xml:space="preserve">и </w:t>
      </w:r>
      <w:r w:rsidRPr="002B5E19">
        <w:rPr>
          <w:rFonts w:ascii="Times New Roman" w:hAnsi="Times New Roman"/>
          <w:sz w:val="24"/>
          <w:szCs w:val="24"/>
          <w:u w:val="single"/>
        </w:rPr>
        <w:t xml:space="preserve">отмена </w:t>
      </w:r>
      <w:r w:rsidRPr="005F3A74">
        <w:rPr>
          <w:rFonts w:ascii="Times New Roman" w:hAnsi="Times New Roman"/>
          <w:sz w:val="24"/>
          <w:szCs w:val="24"/>
          <w:u w:val="single"/>
        </w:rPr>
        <w:t xml:space="preserve">внутрироссийского </w:t>
      </w:r>
      <w:r w:rsidRPr="002B5E19">
        <w:rPr>
          <w:rFonts w:ascii="Times New Roman" w:hAnsi="Times New Roman"/>
          <w:sz w:val="24"/>
          <w:szCs w:val="24"/>
          <w:u w:val="single"/>
        </w:rPr>
        <w:t>контроля за трансфертным ценообразованием</w:t>
      </w:r>
      <w:r w:rsidRPr="002B5E19">
        <w:rPr>
          <w:rFonts w:ascii="Times New Roman" w:hAnsi="Times New Roman"/>
          <w:sz w:val="24"/>
          <w:szCs w:val="24"/>
        </w:rPr>
        <w:t xml:space="preserve"> </w:t>
      </w:r>
      <w:r>
        <w:rPr>
          <w:rFonts w:ascii="Times New Roman" w:hAnsi="Times New Roman"/>
          <w:sz w:val="24"/>
          <w:szCs w:val="24"/>
        </w:rPr>
        <w:t xml:space="preserve">при его </w:t>
      </w:r>
      <w:r w:rsidRPr="002B5E19">
        <w:rPr>
          <w:rFonts w:ascii="Times New Roman" w:hAnsi="Times New Roman"/>
          <w:sz w:val="24"/>
          <w:szCs w:val="24"/>
        </w:rPr>
        <w:t>сохран</w:t>
      </w:r>
      <w:r>
        <w:rPr>
          <w:rFonts w:ascii="Times New Roman" w:hAnsi="Times New Roman"/>
          <w:sz w:val="24"/>
          <w:szCs w:val="24"/>
        </w:rPr>
        <w:t>ении</w:t>
      </w:r>
      <w:r w:rsidRPr="002B5E19">
        <w:rPr>
          <w:rFonts w:ascii="Times New Roman" w:hAnsi="Times New Roman"/>
          <w:sz w:val="24"/>
          <w:szCs w:val="24"/>
        </w:rPr>
        <w:t xml:space="preserve"> </w:t>
      </w:r>
      <w:r>
        <w:rPr>
          <w:rFonts w:ascii="Times New Roman" w:hAnsi="Times New Roman"/>
          <w:sz w:val="24"/>
          <w:szCs w:val="24"/>
        </w:rPr>
        <w:t xml:space="preserve">только в случае повышенных рисков </w:t>
      </w:r>
      <w:r w:rsidRPr="002B5E19">
        <w:rPr>
          <w:rFonts w:ascii="Times New Roman" w:hAnsi="Times New Roman"/>
          <w:sz w:val="24"/>
          <w:szCs w:val="24"/>
        </w:rPr>
        <w:t>ущерб</w:t>
      </w:r>
      <w:r>
        <w:rPr>
          <w:rFonts w:ascii="Times New Roman" w:hAnsi="Times New Roman"/>
          <w:sz w:val="24"/>
          <w:szCs w:val="24"/>
        </w:rPr>
        <w:t>а</w:t>
      </w:r>
      <w:r w:rsidRPr="002B5E19">
        <w:rPr>
          <w:rFonts w:ascii="Times New Roman" w:hAnsi="Times New Roman"/>
          <w:sz w:val="24"/>
          <w:szCs w:val="24"/>
        </w:rPr>
        <w:t xml:space="preserve"> для бюджетной системы, в особенности для бюджетов субъектов Российской Федерации</w:t>
      </w:r>
      <w:r>
        <w:rPr>
          <w:rFonts w:ascii="Times New Roman" w:hAnsi="Times New Roman"/>
          <w:sz w:val="24"/>
          <w:szCs w:val="24"/>
        </w:rPr>
        <w:t>.</w:t>
      </w:r>
      <w:r w:rsidRPr="002B5E19">
        <w:rPr>
          <w:rFonts w:ascii="Times New Roman" w:hAnsi="Times New Roman"/>
          <w:sz w:val="24"/>
          <w:szCs w:val="24"/>
        </w:rPr>
        <w:t xml:space="preserve"> </w:t>
      </w:r>
      <w:r>
        <w:rPr>
          <w:rFonts w:ascii="Times New Roman" w:hAnsi="Times New Roman"/>
          <w:sz w:val="24"/>
          <w:szCs w:val="24"/>
        </w:rPr>
        <w:t>Это</w:t>
      </w:r>
      <w:r w:rsidRPr="002B5E19">
        <w:rPr>
          <w:rFonts w:ascii="Times New Roman" w:hAnsi="Times New Roman"/>
          <w:sz w:val="24"/>
          <w:szCs w:val="24"/>
        </w:rPr>
        <w:t xml:space="preserve"> позволит существенно снизить административную нагрузку на бизнес</w:t>
      </w:r>
      <w:r>
        <w:rPr>
          <w:rFonts w:ascii="Times New Roman" w:hAnsi="Times New Roman"/>
          <w:sz w:val="24"/>
          <w:szCs w:val="24"/>
        </w:rPr>
        <w:t>;</w:t>
      </w:r>
    </w:p>
    <w:p w:rsidR="002B5E19" w:rsidRDefault="00200F14" w:rsidP="006A22F2">
      <w:pPr>
        <w:pStyle w:val="aa"/>
        <w:numPr>
          <w:ilvl w:val="0"/>
          <w:numId w:val="9"/>
        </w:numPr>
        <w:spacing w:before="120" w:after="120"/>
        <w:ind w:left="357" w:hanging="357"/>
        <w:contextualSpacing w:val="0"/>
        <w:jc w:val="both"/>
        <w:rPr>
          <w:rFonts w:ascii="Times New Roman" w:hAnsi="Times New Roman"/>
          <w:sz w:val="24"/>
          <w:szCs w:val="24"/>
        </w:rPr>
      </w:pPr>
      <w:r w:rsidRPr="002B5E19">
        <w:rPr>
          <w:rFonts w:ascii="Times New Roman" w:hAnsi="Times New Roman"/>
          <w:sz w:val="24"/>
          <w:szCs w:val="24"/>
        </w:rPr>
        <w:t xml:space="preserve">В целях снижения затрат организаций и физических лиц, связанных с открытием бизнеса, а также стимулирования использования электронных сервисов предлагается </w:t>
      </w:r>
      <w:r w:rsidRPr="002B5E19">
        <w:rPr>
          <w:rFonts w:ascii="Times New Roman" w:hAnsi="Times New Roman"/>
          <w:sz w:val="24"/>
          <w:szCs w:val="24"/>
          <w:u w:val="single"/>
        </w:rPr>
        <w:t>снизить размер государственной пошлины «до нуля»</w:t>
      </w:r>
      <w:r w:rsidRPr="002B5E19">
        <w:rPr>
          <w:rFonts w:ascii="Times New Roman" w:hAnsi="Times New Roman"/>
          <w:sz w:val="24"/>
          <w:szCs w:val="24"/>
        </w:rPr>
        <w:t xml:space="preserve"> при подаче заявления о государственной регистрации юридических лиц и индивидуальных предпринимателей в форме электронного документа («старт за ноль»).</w:t>
      </w:r>
    </w:p>
    <w:p w:rsidR="002B5E19" w:rsidRDefault="00200F14" w:rsidP="006A22F2">
      <w:pPr>
        <w:pStyle w:val="aa"/>
        <w:numPr>
          <w:ilvl w:val="0"/>
          <w:numId w:val="9"/>
        </w:numPr>
        <w:spacing w:before="120" w:after="120"/>
        <w:ind w:left="357" w:hanging="357"/>
        <w:contextualSpacing w:val="0"/>
        <w:jc w:val="both"/>
        <w:rPr>
          <w:rFonts w:ascii="Times New Roman" w:hAnsi="Times New Roman"/>
          <w:sz w:val="24"/>
          <w:szCs w:val="24"/>
        </w:rPr>
      </w:pPr>
      <w:r w:rsidRPr="002B5E19">
        <w:rPr>
          <w:rFonts w:ascii="Times New Roman" w:hAnsi="Times New Roman"/>
          <w:sz w:val="24"/>
          <w:szCs w:val="24"/>
          <w:u w:val="single"/>
        </w:rPr>
        <w:lastRenderedPageBreak/>
        <w:t>Отмена обязанности представления налоговой декларации</w:t>
      </w:r>
      <w:r w:rsidRPr="002B5E19">
        <w:rPr>
          <w:rFonts w:ascii="Times New Roman" w:hAnsi="Times New Roman"/>
          <w:sz w:val="24"/>
          <w:szCs w:val="24"/>
        </w:rPr>
        <w:t xml:space="preserve"> налогоплательщиками, применяющими УСН с объектом налогообложения в виде доходов и использующими контрольно-кассовую технику, обеспечивающую передачу фискальных данных в налоговые органы в режиме «он-лайн».</w:t>
      </w:r>
    </w:p>
    <w:p w:rsidR="00200F14" w:rsidRDefault="00200F14" w:rsidP="006A22F2">
      <w:pPr>
        <w:pStyle w:val="aa"/>
        <w:numPr>
          <w:ilvl w:val="0"/>
          <w:numId w:val="9"/>
        </w:numPr>
        <w:spacing w:before="120" w:after="120"/>
        <w:jc w:val="both"/>
        <w:rPr>
          <w:rFonts w:ascii="Times New Roman" w:hAnsi="Times New Roman"/>
          <w:sz w:val="24"/>
          <w:szCs w:val="24"/>
        </w:rPr>
      </w:pPr>
      <w:r w:rsidRPr="002B5E19">
        <w:rPr>
          <w:rFonts w:ascii="Times New Roman" w:hAnsi="Times New Roman"/>
          <w:sz w:val="24"/>
          <w:szCs w:val="24"/>
        </w:rPr>
        <w:t xml:space="preserve">Предоставление физическим лицам права по уплате платежей, регулируемых Налоговым кодексом, через </w:t>
      </w:r>
      <w:r w:rsidR="002B5E19" w:rsidRPr="002B5E19">
        <w:rPr>
          <w:rFonts w:ascii="Times New Roman" w:hAnsi="Times New Roman"/>
          <w:sz w:val="24"/>
          <w:szCs w:val="24"/>
          <w:u w:val="single"/>
        </w:rPr>
        <w:t>МФЦ</w:t>
      </w:r>
      <w:r w:rsidR="002B5E19">
        <w:rPr>
          <w:rFonts w:ascii="Times New Roman" w:hAnsi="Times New Roman"/>
          <w:sz w:val="24"/>
          <w:szCs w:val="24"/>
        </w:rPr>
        <w:t xml:space="preserve"> </w:t>
      </w:r>
      <w:r w:rsidRPr="002B5E19">
        <w:rPr>
          <w:rFonts w:ascii="Times New Roman" w:hAnsi="Times New Roman"/>
          <w:sz w:val="24"/>
          <w:szCs w:val="24"/>
        </w:rPr>
        <w:t>предоставления государственных и муниципальных услуг.</w:t>
      </w:r>
    </w:p>
    <w:p w:rsidR="00B724EF" w:rsidRDefault="00B724EF" w:rsidP="00B724EF">
      <w:pPr>
        <w:spacing w:before="120" w:after="120"/>
        <w:jc w:val="both"/>
        <w:rPr>
          <w:rFonts w:ascii="Times New Roman" w:hAnsi="Times New Roman"/>
          <w:sz w:val="24"/>
          <w:szCs w:val="24"/>
        </w:rPr>
      </w:pPr>
      <w:r>
        <w:rPr>
          <w:rFonts w:ascii="Times New Roman" w:hAnsi="Times New Roman"/>
          <w:b/>
          <w:sz w:val="28"/>
          <w:szCs w:val="24"/>
        </w:rPr>
        <w:t xml:space="preserve">Стратегическая </w:t>
      </w:r>
      <w:r w:rsidR="000355D2">
        <w:rPr>
          <w:rFonts w:ascii="Times New Roman" w:hAnsi="Times New Roman"/>
          <w:b/>
          <w:sz w:val="28"/>
          <w:szCs w:val="24"/>
        </w:rPr>
        <w:t>приоритизация</w:t>
      </w:r>
      <w:r>
        <w:rPr>
          <w:rFonts w:ascii="Times New Roman" w:hAnsi="Times New Roman"/>
          <w:b/>
          <w:sz w:val="28"/>
          <w:szCs w:val="24"/>
        </w:rPr>
        <w:t xml:space="preserve"> расходов бюджета</w:t>
      </w:r>
    </w:p>
    <w:p w:rsidR="00E73B79" w:rsidRPr="00E73B79" w:rsidRDefault="00D43F66" w:rsidP="00E73B79">
      <w:pPr>
        <w:spacing w:before="120" w:after="120"/>
        <w:jc w:val="both"/>
        <w:rPr>
          <w:rFonts w:ascii="Times New Roman" w:hAnsi="Times New Roman"/>
          <w:sz w:val="24"/>
          <w:szCs w:val="24"/>
        </w:rPr>
      </w:pPr>
      <w:r>
        <w:rPr>
          <w:rFonts w:ascii="Times New Roman" w:hAnsi="Times New Roman"/>
          <w:sz w:val="24"/>
          <w:szCs w:val="24"/>
        </w:rPr>
        <w:t>П</w:t>
      </w:r>
      <w:r w:rsidRPr="00D43F66">
        <w:rPr>
          <w:rFonts w:ascii="Times New Roman" w:hAnsi="Times New Roman"/>
          <w:sz w:val="24"/>
          <w:szCs w:val="24"/>
        </w:rPr>
        <w:t>ри формировании проекта федерального бюджета в</w:t>
      </w:r>
      <w:r>
        <w:rPr>
          <w:rFonts w:ascii="Times New Roman" w:hAnsi="Times New Roman"/>
          <w:sz w:val="24"/>
          <w:szCs w:val="24"/>
        </w:rPr>
        <w:t xml:space="preserve"> </w:t>
      </w:r>
      <w:r w:rsidRPr="00D43F66">
        <w:rPr>
          <w:rFonts w:ascii="Times New Roman" w:hAnsi="Times New Roman"/>
          <w:sz w:val="24"/>
          <w:szCs w:val="24"/>
        </w:rPr>
        <w:t xml:space="preserve">приоритетном порядке </w:t>
      </w:r>
      <w:r>
        <w:rPr>
          <w:rFonts w:ascii="Times New Roman" w:hAnsi="Times New Roman"/>
          <w:sz w:val="24"/>
          <w:szCs w:val="24"/>
        </w:rPr>
        <w:t xml:space="preserve">будут </w:t>
      </w:r>
      <w:r w:rsidR="00DB29F1" w:rsidRPr="00D43F66">
        <w:rPr>
          <w:rFonts w:ascii="Times New Roman" w:hAnsi="Times New Roman"/>
          <w:sz w:val="24"/>
          <w:szCs w:val="24"/>
        </w:rPr>
        <w:t>предусм</w:t>
      </w:r>
      <w:r w:rsidR="00DB29F1">
        <w:rPr>
          <w:rFonts w:ascii="Times New Roman" w:hAnsi="Times New Roman"/>
          <w:sz w:val="24"/>
          <w:szCs w:val="24"/>
        </w:rPr>
        <w:t>отрены</w:t>
      </w:r>
      <w:r>
        <w:rPr>
          <w:rFonts w:ascii="Times New Roman" w:hAnsi="Times New Roman"/>
          <w:sz w:val="24"/>
          <w:szCs w:val="24"/>
        </w:rPr>
        <w:t xml:space="preserve"> </w:t>
      </w:r>
      <w:r w:rsidRPr="00D43F66">
        <w:rPr>
          <w:rFonts w:ascii="Times New Roman" w:hAnsi="Times New Roman"/>
          <w:sz w:val="24"/>
          <w:szCs w:val="24"/>
        </w:rPr>
        <w:t>бюджетные ассигнования на</w:t>
      </w:r>
      <w:r>
        <w:rPr>
          <w:rFonts w:ascii="Times New Roman" w:hAnsi="Times New Roman"/>
          <w:sz w:val="24"/>
          <w:szCs w:val="24"/>
        </w:rPr>
        <w:t xml:space="preserve"> </w:t>
      </w:r>
      <w:r w:rsidRPr="00D43F66">
        <w:rPr>
          <w:rFonts w:ascii="Times New Roman" w:hAnsi="Times New Roman"/>
          <w:sz w:val="24"/>
          <w:szCs w:val="24"/>
        </w:rPr>
        <w:t>ре</w:t>
      </w:r>
      <w:r>
        <w:rPr>
          <w:rFonts w:ascii="Times New Roman" w:hAnsi="Times New Roman"/>
          <w:sz w:val="24"/>
          <w:szCs w:val="24"/>
        </w:rPr>
        <w:t>ализацию национальных проектов. Это позволит с</w:t>
      </w:r>
      <w:r w:rsidR="00001703" w:rsidRPr="00001703">
        <w:rPr>
          <w:rFonts w:ascii="Times New Roman" w:hAnsi="Times New Roman"/>
          <w:sz w:val="24"/>
          <w:szCs w:val="24"/>
        </w:rPr>
        <w:t>формировать ресурс на финансирование национальных целей развития в социальных сферах</w:t>
      </w:r>
      <w:r w:rsidR="00E73B79">
        <w:rPr>
          <w:rFonts w:ascii="Times New Roman" w:hAnsi="Times New Roman"/>
          <w:sz w:val="24"/>
          <w:szCs w:val="24"/>
        </w:rPr>
        <w:t>. Обеспечить (1) у</w:t>
      </w:r>
      <w:r w:rsidR="00001703" w:rsidRPr="00001703">
        <w:rPr>
          <w:rFonts w:ascii="Times New Roman" w:hAnsi="Times New Roman"/>
          <w:sz w:val="24"/>
          <w:szCs w:val="24"/>
        </w:rPr>
        <w:t>величение продолжительности здоровой жизни и повышение качества здравоохранения</w:t>
      </w:r>
      <w:r w:rsidR="00E73B79" w:rsidRPr="00E73B79">
        <w:rPr>
          <w:rFonts w:ascii="Times New Roman" w:hAnsi="Times New Roman"/>
          <w:sz w:val="24"/>
          <w:szCs w:val="24"/>
        </w:rPr>
        <w:t>;</w:t>
      </w:r>
      <w:r w:rsidR="00E73B79">
        <w:rPr>
          <w:rFonts w:ascii="Times New Roman" w:hAnsi="Times New Roman"/>
          <w:sz w:val="24"/>
          <w:szCs w:val="24"/>
        </w:rPr>
        <w:t xml:space="preserve"> (2) </w:t>
      </w:r>
      <w:r w:rsidR="000355D2">
        <w:rPr>
          <w:rFonts w:ascii="Times New Roman" w:hAnsi="Times New Roman"/>
          <w:sz w:val="24"/>
          <w:szCs w:val="24"/>
        </w:rPr>
        <w:t xml:space="preserve">формирование </w:t>
      </w:r>
      <w:r w:rsidR="00E73B79" w:rsidRPr="00E73B79">
        <w:rPr>
          <w:rFonts w:ascii="Times New Roman" w:hAnsi="Times New Roman"/>
          <w:sz w:val="24"/>
          <w:szCs w:val="24"/>
        </w:rPr>
        <w:t>высоки</w:t>
      </w:r>
      <w:r w:rsidR="00E73B79">
        <w:rPr>
          <w:rFonts w:ascii="Times New Roman" w:hAnsi="Times New Roman"/>
          <w:sz w:val="24"/>
          <w:szCs w:val="24"/>
        </w:rPr>
        <w:t>х</w:t>
      </w:r>
      <w:r w:rsidR="00E73B79" w:rsidRPr="00E73B79">
        <w:rPr>
          <w:rFonts w:ascii="Times New Roman" w:hAnsi="Times New Roman"/>
          <w:sz w:val="24"/>
          <w:szCs w:val="24"/>
        </w:rPr>
        <w:t xml:space="preserve"> стандарт</w:t>
      </w:r>
      <w:r w:rsidR="00E73B79">
        <w:rPr>
          <w:rFonts w:ascii="Times New Roman" w:hAnsi="Times New Roman"/>
          <w:sz w:val="24"/>
          <w:szCs w:val="24"/>
        </w:rPr>
        <w:t>ов</w:t>
      </w:r>
      <w:r w:rsidR="00E73B79" w:rsidRPr="00E73B79">
        <w:rPr>
          <w:rFonts w:ascii="Times New Roman" w:hAnsi="Times New Roman"/>
          <w:sz w:val="24"/>
          <w:szCs w:val="24"/>
        </w:rPr>
        <w:t xml:space="preserve"> экологического благополучия. </w:t>
      </w:r>
      <w:r w:rsidR="00E73B79">
        <w:rPr>
          <w:rFonts w:ascii="Times New Roman" w:hAnsi="Times New Roman"/>
          <w:sz w:val="24"/>
          <w:szCs w:val="24"/>
        </w:rPr>
        <w:t xml:space="preserve">Достичь (3) </w:t>
      </w:r>
      <w:r w:rsidR="00E73B79" w:rsidRPr="00E73B79">
        <w:rPr>
          <w:rFonts w:ascii="Times New Roman" w:hAnsi="Times New Roman"/>
          <w:sz w:val="24"/>
          <w:szCs w:val="24"/>
        </w:rPr>
        <w:t>стопроцентн</w:t>
      </w:r>
      <w:r w:rsidR="00E73B79">
        <w:rPr>
          <w:rFonts w:ascii="Times New Roman" w:hAnsi="Times New Roman"/>
          <w:sz w:val="24"/>
          <w:szCs w:val="24"/>
        </w:rPr>
        <w:t xml:space="preserve">ой </w:t>
      </w:r>
      <w:r w:rsidR="00E73B79" w:rsidRPr="00E73B79">
        <w:rPr>
          <w:rFonts w:ascii="Times New Roman" w:hAnsi="Times New Roman"/>
          <w:sz w:val="24"/>
          <w:szCs w:val="24"/>
        </w:rPr>
        <w:t>доступност</w:t>
      </w:r>
      <w:r w:rsidR="00E73B79">
        <w:rPr>
          <w:rFonts w:ascii="Times New Roman" w:hAnsi="Times New Roman"/>
          <w:sz w:val="24"/>
          <w:szCs w:val="24"/>
        </w:rPr>
        <w:t xml:space="preserve">и </w:t>
      </w:r>
      <w:r w:rsidR="00E73B79" w:rsidRPr="00E73B79">
        <w:rPr>
          <w:rFonts w:ascii="Times New Roman" w:hAnsi="Times New Roman"/>
          <w:sz w:val="24"/>
          <w:szCs w:val="24"/>
        </w:rPr>
        <w:t xml:space="preserve">дошкольного образования </w:t>
      </w:r>
      <w:r w:rsidR="00E73B79">
        <w:rPr>
          <w:rFonts w:ascii="Times New Roman" w:hAnsi="Times New Roman"/>
          <w:sz w:val="24"/>
          <w:szCs w:val="24"/>
        </w:rPr>
        <w:t xml:space="preserve">и </w:t>
      </w:r>
      <w:r w:rsidR="00E73B79" w:rsidRPr="00E73B79">
        <w:rPr>
          <w:rFonts w:ascii="Times New Roman" w:hAnsi="Times New Roman"/>
          <w:sz w:val="24"/>
          <w:szCs w:val="24"/>
        </w:rPr>
        <w:t>вхождения Российской Федерации в число 10 ведущих стран мира по качеству общего образования</w:t>
      </w:r>
      <w:r w:rsidR="00E73B79">
        <w:rPr>
          <w:rFonts w:ascii="Times New Roman" w:hAnsi="Times New Roman"/>
          <w:sz w:val="24"/>
          <w:szCs w:val="24"/>
        </w:rPr>
        <w:t>. О</w:t>
      </w:r>
      <w:r w:rsidR="00E73B79" w:rsidRPr="00E73B79">
        <w:rPr>
          <w:rFonts w:ascii="Times New Roman" w:hAnsi="Times New Roman"/>
          <w:sz w:val="24"/>
          <w:szCs w:val="24"/>
        </w:rPr>
        <w:t>беспеч</w:t>
      </w:r>
      <w:r w:rsidR="00E73B79">
        <w:rPr>
          <w:rFonts w:ascii="Times New Roman" w:hAnsi="Times New Roman"/>
          <w:sz w:val="24"/>
          <w:szCs w:val="24"/>
        </w:rPr>
        <w:t xml:space="preserve">ить (4) </w:t>
      </w:r>
      <w:r w:rsidR="00E73B79" w:rsidRPr="00E73B79">
        <w:rPr>
          <w:rFonts w:ascii="Times New Roman" w:hAnsi="Times New Roman"/>
          <w:sz w:val="24"/>
          <w:szCs w:val="24"/>
        </w:rPr>
        <w:t>присутстви</w:t>
      </w:r>
      <w:r w:rsidR="00E73B79">
        <w:rPr>
          <w:rFonts w:ascii="Times New Roman" w:hAnsi="Times New Roman"/>
          <w:sz w:val="24"/>
          <w:szCs w:val="24"/>
        </w:rPr>
        <w:t>е</w:t>
      </w:r>
      <w:r w:rsidR="00E73B79" w:rsidRPr="00E73B79">
        <w:rPr>
          <w:rFonts w:ascii="Times New Roman" w:hAnsi="Times New Roman"/>
          <w:sz w:val="24"/>
          <w:szCs w:val="24"/>
        </w:rPr>
        <w:t xml:space="preserve"> Российской Федерации в числе пяти ведущих стран мира, осуществляющих научные исследования и разработки в областях, определяемых приоритетами научно-технологического развития.</w:t>
      </w:r>
    </w:p>
    <w:p w:rsidR="00001703" w:rsidRDefault="000355D2" w:rsidP="00001703">
      <w:pPr>
        <w:spacing w:before="120" w:after="120"/>
        <w:jc w:val="both"/>
        <w:rPr>
          <w:rFonts w:ascii="Times New Roman" w:hAnsi="Times New Roman"/>
          <w:sz w:val="24"/>
          <w:szCs w:val="24"/>
        </w:rPr>
      </w:pPr>
      <w:r>
        <w:rPr>
          <w:rFonts w:ascii="Times New Roman" w:hAnsi="Times New Roman"/>
          <w:sz w:val="24"/>
          <w:szCs w:val="24"/>
        </w:rPr>
        <w:t>Приоритизировать</w:t>
      </w:r>
      <w:r w:rsidR="00C30AC0">
        <w:rPr>
          <w:rFonts w:ascii="Times New Roman" w:hAnsi="Times New Roman"/>
          <w:sz w:val="24"/>
          <w:szCs w:val="24"/>
        </w:rPr>
        <w:t xml:space="preserve"> </w:t>
      </w:r>
      <w:r w:rsidR="00001703" w:rsidRPr="00001703">
        <w:rPr>
          <w:rFonts w:ascii="Times New Roman" w:hAnsi="Times New Roman"/>
          <w:sz w:val="24"/>
          <w:szCs w:val="24"/>
        </w:rPr>
        <w:t>финансирование национальных проектов в сфере отечественной промышленности и национальной экономики. Это (1) развитие малого и среднего предпринимательства, (2) создание конкурентоспособного экспортно-ориентированного сегмента в базовых отраслях промышленности, сельского хозяйства и сферы услуг, (3) повышение производительности труда.</w:t>
      </w:r>
    </w:p>
    <w:p w:rsidR="00C30AC0" w:rsidRPr="00001703" w:rsidRDefault="00C30AC0" w:rsidP="00001703">
      <w:pPr>
        <w:spacing w:before="120" w:after="120"/>
        <w:jc w:val="both"/>
        <w:rPr>
          <w:rFonts w:ascii="Times New Roman" w:hAnsi="Times New Roman"/>
          <w:sz w:val="24"/>
          <w:szCs w:val="24"/>
        </w:rPr>
      </w:pPr>
      <w:r>
        <w:rPr>
          <w:rFonts w:ascii="Times New Roman" w:hAnsi="Times New Roman"/>
          <w:sz w:val="24"/>
          <w:szCs w:val="24"/>
        </w:rPr>
        <w:t xml:space="preserve">За счет </w:t>
      </w:r>
      <w:r w:rsidR="00DB29F1">
        <w:rPr>
          <w:rFonts w:ascii="Times New Roman" w:hAnsi="Times New Roman"/>
          <w:sz w:val="24"/>
          <w:szCs w:val="24"/>
        </w:rPr>
        <w:t>использования</w:t>
      </w:r>
      <w:r>
        <w:rPr>
          <w:rFonts w:ascii="Times New Roman" w:hAnsi="Times New Roman"/>
          <w:sz w:val="24"/>
          <w:szCs w:val="24"/>
        </w:rPr>
        <w:t xml:space="preserve"> средств Фонда Развития реализовать </w:t>
      </w:r>
      <w:r w:rsidRPr="00C30AC0">
        <w:rPr>
          <w:rFonts w:ascii="Times New Roman" w:hAnsi="Times New Roman"/>
          <w:sz w:val="24"/>
          <w:szCs w:val="24"/>
        </w:rPr>
        <w:t xml:space="preserve">проекты, способствующие переходу экономики на качественно иные темпы развития, существенно улучшающие качество жизни населения. </w:t>
      </w:r>
      <w:r>
        <w:rPr>
          <w:rFonts w:ascii="Times New Roman" w:hAnsi="Times New Roman"/>
          <w:sz w:val="24"/>
          <w:szCs w:val="24"/>
        </w:rPr>
        <w:t>П</w:t>
      </w:r>
      <w:r w:rsidRPr="00C30AC0">
        <w:rPr>
          <w:rFonts w:ascii="Times New Roman" w:hAnsi="Times New Roman"/>
          <w:sz w:val="24"/>
          <w:szCs w:val="24"/>
        </w:rPr>
        <w:t>роекты в сфере развития городской и цифровой инфраструктуры, межрегиональной связанности и др.</w:t>
      </w:r>
    </w:p>
    <w:p w:rsidR="00B724EF" w:rsidRPr="00B724EF" w:rsidRDefault="001E1BB5" w:rsidP="00B724EF">
      <w:pPr>
        <w:spacing w:before="120" w:after="120"/>
        <w:jc w:val="both"/>
        <w:rPr>
          <w:rFonts w:ascii="Times New Roman" w:hAnsi="Times New Roman"/>
          <w:sz w:val="24"/>
          <w:szCs w:val="24"/>
        </w:rPr>
      </w:pPr>
      <w:r w:rsidRPr="001E1BB5">
        <w:rPr>
          <w:rFonts w:ascii="Times New Roman" w:hAnsi="Times New Roman"/>
          <w:sz w:val="24"/>
          <w:szCs w:val="24"/>
          <w:highlight w:val="yellow"/>
        </w:rPr>
        <w:t xml:space="preserve">Наполнение этого раздела будет сформировано с учетом </w:t>
      </w:r>
      <w:r w:rsidR="000355D2">
        <w:rPr>
          <w:rFonts w:ascii="Times New Roman" w:hAnsi="Times New Roman"/>
          <w:sz w:val="24"/>
          <w:szCs w:val="24"/>
          <w:highlight w:val="yellow"/>
        </w:rPr>
        <w:t xml:space="preserve">разработки и утверждения </w:t>
      </w:r>
      <w:r w:rsidRPr="001E1BB5">
        <w:rPr>
          <w:rFonts w:ascii="Times New Roman" w:hAnsi="Times New Roman"/>
          <w:sz w:val="24"/>
          <w:szCs w:val="24"/>
          <w:highlight w:val="yellow"/>
        </w:rPr>
        <w:t>паспортов национальных проектов.</w:t>
      </w:r>
    </w:p>
    <w:p w:rsidR="004E2069" w:rsidRDefault="00B724EF" w:rsidP="00B724EF">
      <w:pPr>
        <w:pStyle w:val="20"/>
        <w:numPr>
          <w:ilvl w:val="1"/>
          <w:numId w:val="3"/>
        </w:numPr>
        <w:spacing w:before="240" w:after="240"/>
        <w:rPr>
          <w:rFonts w:ascii="Times New Roman" w:hAnsi="Times New Roman"/>
          <w:sz w:val="28"/>
          <w:szCs w:val="28"/>
        </w:rPr>
      </w:pPr>
      <w:bookmarkStart w:id="21" w:name="_Toc518648655"/>
      <w:r>
        <w:rPr>
          <w:rFonts w:ascii="Times New Roman" w:hAnsi="Times New Roman"/>
          <w:sz w:val="28"/>
          <w:szCs w:val="28"/>
        </w:rPr>
        <w:t xml:space="preserve">РАЗВИТИЕ </w:t>
      </w:r>
      <w:r w:rsidRPr="00B724EF">
        <w:rPr>
          <w:rFonts w:ascii="Times New Roman" w:hAnsi="Times New Roman"/>
          <w:sz w:val="28"/>
          <w:szCs w:val="28"/>
        </w:rPr>
        <w:t>СИСТЕМЫ МЕЖБЮДЖЕТНЫХ ОТНОШЕНИЙ И ПРОСТРАНСТВЕННОЕ</w:t>
      </w:r>
      <w:r w:rsidR="00795E23" w:rsidRPr="00B724EF">
        <w:rPr>
          <w:rFonts w:ascii="Times New Roman" w:hAnsi="Times New Roman"/>
          <w:sz w:val="28"/>
          <w:szCs w:val="28"/>
        </w:rPr>
        <w:t xml:space="preserve"> </w:t>
      </w:r>
      <w:r>
        <w:rPr>
          <w:rFonts w:ascii="Times New Roman" w:hAnsi="Times New Roman"/>
          <w:sz w:val="28"/>
          <w:szCs w:val="28"/>
        </w:rPr>
        <w:t>РАЗВИТИЕ</w:t>
      </w:r>
      <w:bookmarkEnd w:id="21"/>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Вопросы развития межбюджетных отношений на среднесрочный период приобретают особую актуальность в свете новых задач, поставленных 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w:t>
      </w:r>
      <w:r w:rsidR="00CD2E7C">
        <w:rPr>
          <w:rFonts w:ascii="Times New Roman" w:hAnsi="Times New Roman"/>
          <w:sz w:val="24"/>
          <w:szCs w:val="24"/>
        </w:rPr>
        <w:t>»</w:t>
      </w:r>
      <w:r w:rsidRPr="00B724EF">
        <w:rPr>
          <w:rFonts w:ascii="Times New Roman" w:hAnsi="Times New Roman"/>
          <w:sz w:val="24"/>
          <w:szCs w:val="24"/>
        </w:rPr>
        <w:t>.</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 xml:space="preserve">Формирование национальных проектов проводится с учетом включения в них механизмов координации с регионами и муниципальными образованиями. В федеральных проектах будут установлены целевые показатели в разрезе субъектов Российской Федерации. Эти показатели затем будут отражены в соглашениях о </w:t>
      </w:r>
      <w:r w:rsidRPr="00B724EF">
        <w:rPr>
          <w:rFonts w:ascii="Times New Roman" w:hAnsi="Times New Roman"/>
          <w:sz w:val="24"/>
          <w:szCs w:val="24"/>
        </w:rPr>
        <w:lastRenderedPageBreak/>
        <w:t xml:space="preserve">предоставлении </w:t>
      </w:r>
      <w:r w:rsidR="00CD2E7C">
        <w:rPr>
          <w:rFonts w:ascii="Times New Roman" w:hAnsi="Times New Roman"/>
          <w:sz w:val="24"/>
          <w:szCs w:val="24"/>
        </w:rPr>
        <w:t>финансовой поддержки</w:t>
      </w:r>
      <w:r w:rsidRPr="00B724EF">
        <w:rPr>
          <w:rFonts w:ascii="Times New Roman" w:hAnsi="Times New Roman"/>
          <w:sz w:val="24"/>
          <w:szCs w:val="24"/>
        </w:rPr>
        <w:t xml:space="preserve"> бюджетам регионов. Достижение установленных значений показателей будет учитываться при составлении отраслевых рейтингов эффективности работы регионов, а в отдельных случаях – при оценке деятельности губернаторов и при финансовом поощрении регионов за счет грантов.</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При этом речь не идет о директивном установлении целевых показателей для регионов «сверху». Формирование нацпроектов должно осуществляться федеральными органами исполнительной власти в тесном взаимодействии с регионами. При формировании целевых показателей будут учитываться как текущее состояние отрасли на конкретной территории и необходимость ее модернизации, так и возможности региона.</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 xml:space="preserve">Реализация национальных проектов, затрагивая полномочия органов власти субъектов Российской Федерации и органов местного самоуправления, очевидно, потребует настройки межбюджетных отношений. </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Выполнение регионами задач, поставленных в Указе</w:t>
      </w:r>
      <w:r w:rsidR="002B30B0">
        <w:rPr>
          <w:rFonts w:ascii="Times New Roman" w:hAnsi="Times New Roman"/>
          <w:sz w:val="24"/>
          <w:szCs w:val="24"/>
        </w:rPr>
        <w:t>,</w:t>
      </w:r>
      <w:r w:rsidRPr="00B724EF">
        <w:rPr>
          <w:rFonts w:ascii="Times New Roman" w:hAnsi="Times New Roman"/>
          <w:sz w:val="24"/>
          <w:szCs w:val="24"/>
        </w:rPr>
        <w:t xml:space="preserve"> потребует ресурсного обеспечения, для чего необходима реализация комплекса мер</w:t>
      </w:r>
      <w:r w:rsidR="00CD2E7C">
        <w:rPr>
          <w:rFonts w:ascii="Times New Roman" w:hAnsi="Times New Roman"/>
          <w:sz w:val="24"/>
          <w:szCs w:val="24"/>
        </w:rPr>
        <w:t xml:space="preserve"> в сфере межбюджетных отношений:</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проведение переориентации и приоритизации целевых межбюджетных трансфертов с учетом задач и приоритетов Указа и Стратегии пространственного развития (на основе дифференцированного подхода к направлениям и мерам государственной поддержки различных типов территорий, с учетом экономической специализации субъектов Российской Федерации, выявленными точками роста и и</w:t>
      </w:r>
      <w:r>
        <w:rPr>
          <w:rFonts w:ascii="Times New Roman" w:hAnsi="Times New Roman"/>
          <w:sz w:val="24"/>
          <w:szCs w:val="24"/>
        </w:rPr>
        <w:t>нфраструктурными ограничениями);</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пересмотр уровня софинансирования из федерального бюджета</w:t>
      </w:r>
      <w:r>
        <w:rPr>
          <w:rFonts w:ascii="Times New Roman" w:hAnsi="Times New Roman"/>
          <w:sz w:val="24"/>
          <w:szCs w:val="24"/>
        </w:rPr>
        <w:t xml:space="preserve"> в рамках национальных проектов;</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 xml:space="preserve">принятие мер по расширению доходной базы регионов, </w:t>
      </w:r>
      <w:r w:rsidR="00CD2E7C" w:rsidRPr="00B724EF">
        <w:rPr>
          <w:rFonts w:ascii="Times New Roman" w:hAnsi="Times New Roman"/>
          <w:sz w:val="24"/>
          <w:szCs w:val="24"/>
        </w:rPr>
        <w:t>изменени</w:t>
      </w:r>
      <w:r w:rsidR="00CD2E7C">
        <w:rPr>
          <w:rFonts w:ascii="Times New Roman" w:hAnsi="Times New Roman"/>
          <w:sz w:val="24"/>
          <w:szCs w:val="24"/>
        </w:rPr>
        <w:t>ю</w:t>
      </w:r>
      <w:r w:rsidR="00CD2E7C" w:rsidRPr="00B724EF">
        <w:rPr>
          <w:rFonts w:ascii="Times New Roman" w:hAnsi="Times New Roman"/>
          <w:sz w:val="24"/>
          <w:szCs w:val="24"/>
        </w:rPr>
        <w:t xml:space="preserve"> </w:t>
      </w:r>
      <w:r w:rsidRPr="00B724EF">
        <w:rPr>
          <w:rFonts w:ascii="Times New Roman" w:hAnsi="Times New Roman"/>
          <w:sz w:val="24"/>
          <w:szCs w:val="24"/>
        </w:rPr>
        <w:t>разграничения полномочий между Российской Федерацией и субъектами:</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 xml:space="preserve">пролонгация до 2024 года решения по централизации в федеральном бюджете доходов от 1% ставки налога на прибыль организаций и норматива зачислений по налогу на прибыль организаций при выполнении соглашений о разделе продукции в целях перераспределения указанных доходов через предоставление дотаций бюджетам субъектов Российской Федерации; </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поэтапная передача с федерального на региональный уровень акцизов на нефтепродукты с учетом необходимости решения задачи по поддержке транспортной инфраструктуры городских агломераций при установлении нормативов распределения акцизов между регионами;</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рассмотрение вопроса о частичной передаче с федерального на региональный уровень акцизов на крепкий алкоголь с поэтапным переходом в течение 5 лет на распределение по нормативам исходя из объемов розничной продажи алкоголя по данным, отраженным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(ЕГАИС);</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lastRenderedPageBreak/>
        <w:t>расширение практики применения механизма «двух ключей» и предоставление регионам полномочий по установлению  налоговых льгот по налогу на имущество организаций и земельному налогу для резидентов особых экономических зон и управляющих компаний особых экономических зон, участников свободной экономической зоны;</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ограничение прав регионов устанавливать для отдельных категорий налогоплательщиков пониженные налоговые ставки по налогу на прибыль организаций с учетом предлагаемых изменений в правила налогообложения при трансфертном ценообразовании.</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Важной задачей при формировании федерального бюджета на 2019-2020 годы также является закрепление положительных результатов, достигнутых в рамках повышения эффективности предоставления межбюджетных трансфертов, по следующим направлениям:</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создание условий, обеспечивающих предсказуемость, прозрачность и стабильность предоставления межбюджетных трансфертов, что предполагает распределение федеральным законом о бюджете на очередной финансовый год всех субсидий и максимального количества иных межбюджетных трансфертов</w:t>
      </w:r>
      <w:r w:rsidR="00CD2E7C">
        <w:rPr>
          <w:rFonts w:ascii="Times New Roman" w:hAnsi="Times New Roman"/>
          <w:sz w:val="24"/>
          <w:szCs w:val="24"/>
        </w:rPr>
        <w:t>,</w:t>
      </w:r>
      <w:r w:rsidRPr="00B724EF">
        <w:rPr>
          <w:rFonts w:ascii="Times New Roman" w:hAnsi="Times New Roman"/>
          <w:sz w:val="24"/>
          <w:szCs w:val="24"/>
        </w:rPr>
        <w:t xml:space="preserve"> обеспечение роста количества распределенных субсидий и иных межбюджетных трансфертов на плановый период;</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расширение полномочий субъектов Российской Федерации по определению направлений софинансирования расходных обязательств субъектов Российской Федерации за счет консолидированных субсидий;</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повышение финансовой дисциплины субъектов Российской Федерации и главных распорядителей бюджетных средств;</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исключение случаев предоставления иных межбюджетных трансфертов на осуществление капитальных вложений в объекты капитального строительства собственности субъектов Российской Федерации (муниципальной собственности) в целях недопущения роста объема незавершенного строительства;</w:t>
      </w:r>
    </w:p>
    <w:p w:rsidR="00B724EF" w:rsidRPr="00B724EF" w:rsidRDefault="00CD2E7C" w:rsidP="006A22F2">
      <w:pPr>
        <w:pStyle w:val="aa"/>
        <w:numPr>
          <w:ilvl w:val="0"/>
          <w:numId w:val="18"/>
        </w:numPr>
        <w:spacing w:before="120" w:after="120"/>
        <w:ind w:left="357" w:hanging="357"/>
        <w:contextualSpacing w:val="0"/>
        <w:jc w:val="both"/>
        <w:rPr>
          <w:rFonts w:ascii="Times New Roman" w:hAnsi="Times New Roman"/>
          <w:sz w:val="24"/>
          <w:szCs w:val="24"/>
        </w:rPr>
      </w:pPr>
      <w:r w:rsidRPr="00CD2E7C">
        <w:rPr>
          <w:rFonts w:ascii="Times New Roman" w:hAnsi="Times New Roman"/>
          <w:sz w:val="24"/>
          <w:szCs w:val="24"/>
        </w:rPr>
        <w:t>сохранение действующих принципов распределения дотации на выравнивание бюджетной обеспеченности субъектов Российской Федерации исходя из расчетного налогового потенциала с учетом применения при распределении части дотации относительного показателя расчетных объемов расходных обязательств субъекта Российской Федерации к фактическим расходам</w:t>
      </w:r>
      <w:r w:rsidR="00B724EF" w:rsidRPr="00B724EF">
        <w:rPr>
          <w:rFonts w:ascii="Times New Roman" w:hAnsi="Times New Roman"/>
          <w:sz w:val="24"/>
          <w:szCs w:val="24"/>
        </w:rPr>
        <w:t>.</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Использование расчетных объемов расходных обязательств субъекта Российской Федерации будет также осуществляться как для оценки потребности при распределении дополнительной финансовой помощи (дотации на поддержку мер по обеспечению сбалансированности бюджетов субъектов Российской Федерации), так и в качестве аналитического инструмента для сравнения с другими регионами и средним уровнем по Российской Федерации.</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lastRenderedPageBreak/>
        <w:t>Стимулирование развития экономического потенциала субъектов Российской Федерации и повышение эффективности управления государственными и муниципальными финансами планируется осуществлять по следующим направлениям:</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предоставление субъектам Российской Федерации грантов за достижение наивысших темпов роста налогового потенциала в объеме по 20 млрд. рублей ежегодно;</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предоставление дотаций в целях стимулирования роста налогового потенциала по налогу на прибыль организаций;</w:t>
      </w:r>
    </w:p>
    <w:p w:rsidR="00B724EF" w:rsidRPr="00B724EF" w:rsidRDefault="00B724EF" w:rsidP="006A22F2">
      <w:pPr>
        <w:pStyle w:val="aa"/>
        <w:numPr>
          <w:ilvl w:val="0"/>
          <w:numId w:val="18"/>
        </w:numPr>
        <w:spacing w:before="120" w:after="120"/>
        <w:ind w:left="357" w:hanging="357"/>
        <w:contextualSpacing w:val="0"/>
        <w:jc w:val="both"/>
        <w:rPr>
          <w:rFonts w:ascii="Times New Roman" w:hAnsi="Times New Roman"/>
          <w:sz w:val="24"/>
          <w:szCs w:val="24"/>
        </w:rPr>
      </w:pPr>
      <w:r w:rsidRPr="00B724EF">
        <w:rPr>
          <w:rFonts w:ascii="Times New Roman" w:hAnsi="Times New Roman"/>
          <w:sz w:val="24"/>
          <w:szCs w:val="24"/>
        </w:rPr>
        <w:t>использование стимулирующих механизмов, содержащихся в методике распределения дотаций на выравнивание бюджетной обеспеченности субъектов Российской Федерации, в том числе исключение из налогового потенциала налоговых льгот, введение которых обеспечивает бюджеты субъектов Российской Федерации дополнительными налоговыми поступлениями.</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По итогам проведенной инвентаризации расходных полномочий субъектов Российской Федерации необходимо выработать предложения о внесении изменений в законодательство Российской Федерации, предусматривающих исключение (минимизацию) установления на федеральном уровне требований (правил, норм, нормативов, стандартов), предопределяющих объемы расходов региональных и местных бюджетов на реализацию расходных полномочий.</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Формирование и реализация бюджетной политики на региональном и местном уровнях в 2019-2021 годы будет осуществляться в условиях совершенствования подходов к организации межбюджетных отношений, направленного на расширение бюджетных полномочий субъектов Российской Федерации и муниципальных районов (городских округов с внутригородским делением), уточнение форм, порядков и условий предоставления межбюджетных трансфертов, уточнение положений, связанных с ограничениями по организации бюджетного процесса на муниципальном уровне, контролем за их исполнением и применением мер к нарушающим такие ограничения муниципалитетам, что найдет отражение в подготовленных Минфином России поправках в Бюджетный кодекс и проекте новой редакции Бюджетного кодекса.</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Расширение бюджетных полномочий субъектов Российской Федерации и муниципальных районов (городских округов с внутригородским делением) предусматривает возможность установления единых нормативов отчислений в бюджеты соответствующих видов муниципальных образований от отдельных неналоговых платежей, создаст условия для расширения доходной базы местных бюджетов, позволит учитывать данные неналоговые поступления при взимании «отрицательных» трансфертов и при выравнивании бюджетной обеспеченности в составе доходного потенциала бюджетов муниципалитетов.</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 xml:space="preserve">Уточнение положений, регламентирующих формы, порядки и условия предоставления межбюджетных трансфертов на региональном и местном уровнях приведет к расширению форм предоставления межбюджетных трансфертов для местных бюджетов посредством введения «горизонтальных» субсидий, дотации на поддержку </w:t>
      </w:r>
      <w:r w:rsidRPr="00B724EF">
        <w:rPr>
          <w:rFonts w:ascii="Times New Roman" w:hAnsi="Times New Roman"/>
          <w:sz w:val="24"/>
          <w:szCs w:val="24"/>
        </w:rPr>
        <w:lastRenderedPageBreak/>
        <w:t>мер по обеспечению сбалансированности, единой субвенции. При предоставлении дотаций на выравнивание бюджетной обеспеченности муниципальных образований предусмотрены случаи, при которых регионы имеют возможность снижать размеры критериев выравнивания расчетной бюджетной обеспеченности (финансовых возможностей) муниципалитетов, а также расширятся возможности снижения размеров дотаций на выравнивание бюджетной обеспеченности муниципальных образований</w:t>
      </w:r>
    </w:p>
    <w:p w:rsidR="0027766B" w:rsidRPr="00A17F02" w:rsidRDefault="0027766B" w:rsidP="0027766B">
      <w:pPr>
        <w:pStyle w:val="20"/>
        <w:numPr>
          <w:ilvl w:val="1"/>
          <w:numId w:val="3"/>
        </w:numPr>
        <w:spacing w:before="240" w:after="240"/>
        <w:rPr>
          <w:rFonts w:ascii="Times New Roman" w:hAnsi="Times New Roman"/>
          <w:sz w:val="28"/>
          <w:szCs w:val="28"/>
        </w:rPr>
      </w:pPr>
      <w:bookmarkStart w:id="22" w:name="_Toc518648656"/>
      <w:r w:rsidRPr="00A17F02">
        <w:rPr>
          <w:rFonts w:ascii="Times New Roman" w:hAnsi="Times New Roman"/>
          <w:sz w:val="28"/>
          <w:szCs w:val="28"/>
        </w:rPr>
        <w:t>ОПЕРАЦИОННАЯ ЭФФЕКТИВНОСТЬ</w:t>
      </w:r>
      <w:r w:rsidR="0079499C">
        <w:rPr>
          <w:rFonts w:ascii="Times New Roman" w:hAnsi="Times New Roman"/>
          <w:sz w:val="28"/>
          <w:szCs w:val="28"/>
        </w:rPr>
        <w:t xml:space="preserve"> ИСПОЛЬЗОВАНИЯ БЮДЖЕТНЫХ СРЕДСТВ</w:t>
      </w:r>
      <w:bookmarkEnd w:id="22"/>
    </w:p>
    <w:p w:rsidR="00B724EF" w:rsidRPr="00B724EF" w:rsidRDefault="00B724EF" w:rsidP="00AC1391">
      <w:pPr>
        <w:spacing w:before="120" w:after="120"/>
        <w:jc w:val="both"/>
        <w:rPr>
          <w:rStyle w:val="CharStyle6"/>
          <w:rFonts w:ascii="Times New Roman" w:hAnsi="Times New Roman"/>
          <w:b/>
          <w:color w:val="000000"/>
          <w:sz w:val="24"/>
          <w:szCs w:val="24"/>
        </w:rPr>
      </w:pPr>
      <w:r w:rsidRPr="00B724EF">
        <w:rPr>
          <w:rFonts w:ascii="Times New Roman" w:hAnsi="Times New Roman"/>
          <w:sz w:val="24"/>
          <w:szCs w:val="24"/>
        </w:rPr>
        <w:t xml:space="preserve">Необходимость достижения приоритетов и целей, определенных в документах стратегического планирования, качественного рывка в социально-экономическом развитии в условиях ограниченности бюджетных ресурсов увеличивает актуальность разработки и реализации мер по повышению эффективности </w:t>
      </w:r>
      <w:r w:rsidRPr="00B724EF">
        <w:rPr>
          <w:rStyle w:val="CharStyle6"/>
          <w:rFonts w:ascii="Times New Roman" w:hAnsi="Times New Roman"/>
          <w:color w:val="000000"/>
          <w:sz w:val="24"/>
          <w:szCs w:val="24"/>
        </w:rPr>
        <w:t>использования бюджетных средств</w:t>
      </w:r>
      <w:r w:rsidRPr="00B724EF">
        <w:rPr>
          <w:rFonts w:ascii="Times New Roman" w:hAnsi="Times New Roman"/>
          <w:sz w:val="24"/>
          <w:szCs w:val="24"/>
        </w:rPr>
        <w:t>.</w:t>
      </w:r>
    </w:p>
    <w:p w:rsidR="00B724EF" w:rsidRPr="00B724EF" w:rsidRDefault="00B724EF" w:rsidP="00AC1391">
      <w:pPr>
        <w:spacing w:before="120" w:after="120"/>
        <w:jc w:val="both"/>
        <w:rPr>
          <w:rFonts w:ascii="Times New Roman" w:hAnsi="Times New Roman"/>
          <w:sz w:val="24"/>
          <w:szCs w:val="24"/>
        </w:rPr>
      </w:pPr>
      <w:r w:rsidRPr="00B724EF">
        <w:rPr>
          <w:rFonts w:ascii="Times New Roman" w:hAnsi="Times New Roman"/>
          <w:sz w:val="24"/>
          <w:szCs w:val="24"/>
        </w:rPr>
        <w:t xml:space="preserve">Одним из приоритетных направлений повышения эффективности бюджетных расходов в предстоящем периоде будет выступать </w:t>
      </w:r>
      <w:r w:rsidRPr="00B724EF">
        <w:rPr>
          <w:rFonts w:ascii="Times New Roman" w:hAnsi="Times New Roman"/>
          <w:b/>
          <w:sz w:val="24"/>
          <w:szCs w:val="24"/>
        </w:rPr>
        <w:t>развитие института государственных (муниципальных) программ на проектных принципах управления</w:t>
      </w:r>
      <w:r w:rsidRPr="00B724EF">
        <w:rPr>
          <w:rFonts w:ascii="Times New Roman" w:hAnsi="Times New Roman"/>
          <w:sz w:val="24"/>
          <w:szCs w:val="24"/>
        </w:rPr>
        <w:t xml:space="preserve">. С учетом интеграции предусмотренных Указом Президента Российской Федерации от 7 мая 2018 года № 204 национальных проектов (программ) государственные программы должны стать простым и эффективным инструментом организации как проектной, так и процессной (текущей) деятельности государственных органов, отражающим взаимосвязь затраченных ресурсов и полученных результатов. </w:t>
      </w:r>
    </w:p>
    <w:p w:rsidR="00B724EF" w:rsidRPr="00B724EF" w:rsidRDefault="00B724EF" w:rsidP="00AC1391">
      <w:pPr>
        <w:spacing w:before="120" w:after="120"/>
        <w:jc w:val="both"/>
        <w:rPr>
          <w:rFonts w:ascii="Times New Roman" w:hAnsi="Times New Roman"/>
          <w:sz w:val="24"/>
          <w:szCs w:val="24"/>
        </w:rPr>
      </w:pPr>
      <w:r w:rsidRPr="00B724EF">
        <w:rPr>
          <w:rFonts w:ascii="Times New Roman" w:hAnsi="Times New Roman"/>
          <w:sz w:val="24"/>
          <w:szCs w:val="24"/>
        </w:rPr>
        <w:t xml:space="preserve">Предполагается внедрение комплексного механизма </w:t>
      </w:r>
      <w:r w:rsidRPr="00B724EF">
        <w:rPr>
          <w:rFonts w:ascii="Times New Roman" w:hAnsi="Times New Roman"/>
          <w:b/>
          <w:sz w:val="24"/>
          <w:szCs w:val="24"/>
        </w:rPr>
        <w:t>аудита (обзора) бюджетных расходов.</w:t>
      </w:r>
    </w:p>
    <w:p w:rsidR="00B724EF" w:rsidRPr="00B724EF" w:rsidRDefault="00B724EF" w:rsidP="00AC1391">
      <w:pPr>
        <w:pStyle w:val="ConsPlusNormal"/>
        <w:spacing w:before="120" w:after="120" w:line="276" w:lineRule="auto"/>
        <w:jc w:val="both"/>
        <w:rPr>
          <w:sz w:val="24"/>
          <w:szCs w:val="24"/>
        </w:rPr>
      </w:pPr>
      <w:r w:rsidRPr="00B724EF">
        <w:rPr>
          <w:sz w:val="24"/>
          <w:szCs w:val="24"/>
        </w:rPr>
        <w:t xml:space="preserve">Будет внедрена </w:t>
      </w:r>
      <w:r w:rsidRPr="00B724EF">
        <w:rPr>
          <w:b/>
          <w:sz w:val="24"/>
          <w:szCs w:val="24"/>
        </w:rPr>
        <w:t>система управления налоговыми расходами</w:t>
      </w:r>
      <w:r w:rsidRPr="00B724EF">
        <w:rPr>
          <w:sz w:val="24"/>
          <w:szCs w:val="24"/>
        </w:rPr>
        <w:t xml:space="preserve"> (выпадающими доходами бюджета, обусловленными налоговыми льготами, преференциями по налогам и сборам, предусмотренным в качестве мер государственной поддержки в соответствии с целями государственных программ и (или) целями социально-экономической политики, не относящимися к государственным программам) и обеспечена ее интеграция в бюджетный процесс.</w:t>
      </w:r>
    </w:p>
    <w:p w:rsidR="00B724EF" w:rsidRPr="00B724EF" w:rsidRDefault="00B724EF" w:rsidP="00AC1391">
      <w:pPr>
        <w:spacing w:before="120" w:after="120"/>
        <w:jc w:val="both"/>
        <w:rPr>
          <w:rFonts w:ascii="Times New Roman" w:hAnsi="Times New Roman"/>
          <w:sz w:val="24"/>
          <w:szCs w:val="24"/>
        </w:rPr>
      </w:pPr>
      <w:r w:rsidRPr="00B724EF">
        <w:rPr>
          <w:rFonts w:ascii="Times New Roman" w:hAnsi="Times New Roman"/>
          <w:sz w:val="24"/>
          <w:szCs w:val="24"/>
        </w:rPr>
        <w:t xml:space="preserve">Кроме того, в целях повышения операционной эффективности бюджетных расходов предполагается дальнейшее совершенствования </w:t>
      </w:r>
      <w:r w:rsidRPr="00B724EF">
        <w:rPr>
          <w:rFonts w:ascii="Times New Roman" w:hAnsi="Times New Roman"/>
          <w:b/>
          <w:sz w:val="24"/>
          <w:szCs w:val="24"/>
        </w:rPr>
        <w:t>процедур планирования и технологий исполнения бюджета</w:t>
      </w:r>
      <w:r w:rsidRPr="00B724EF">
        <w:rPr>
          <w:rFonts w:ascii="Times New Roman" w:hAnsi="Times New Roman"/>
          <w:sz w:val="24"/>
          <w:szCs w:val="24"/>
        </w:rPr>
        <w:t>, включая:</w:t>
      </w:r>
    </w:p>
    <w:p w:rsidR="00B724EF" w:rsidRPr="00B724EF" w:rsidRDefault="00B724EF" w:rsidP="00AC1391">
      <w:pPr>
        <w:pStyle w:val="Style4"/>
        <w:numPr>
          <w:ilvl w:val="0"/>
          <w:numId w:val="15"/>
        </w:numPr>
        <w:spacing w:before="120" w:after="120" w:line="276" w:lineRule="auto"/>
        <w:ind w:left="357" w:hanging="357"/>
        <w:jc w:val="both"/>
        <w:rPr>
          <w:rStyle w:val="CharStyle6"/>
          <w:rFonts w:ascii="Times New Roman" w:hAnsi="Times New Roman"/>
          <w:b/>
          <w:color w:val="000000"/>
          <w:sz w:val="24"/>
          <w:szCs w:val="24"/>
        </w:rPr>
      </w:pPr>
      <w:r w:rsidRPr="00B724EF">
        <w:rPr>
          <w:rStyle w:val="CharStyle6"/>
          <w:rFonts w:ascii="Times New Roman" w:hAnsi="Times New Roman"/>
          <w:b/>
          <w:color w:val="000000"/>
          <w:sz w:val="24"/>
          <w:szCs w:val="24"/>
        </w:rPr>
        <w:t xml:space="preserve">расширение практики внедрения </w:t>
      </w:r>
      <w:r w:rsidRPr="00B724EF">
        <w:rPr>
          <w:rStyle w:val="CharStyle6"/>
          <w:rFonts w:ascii="Times New Roman" w:hAnsi="Times New Roman"/>
          <w:color w:val="000000"/>
          <w:sz w:val="24"/>
          <w:szCs w:val="24"/>
        </w:rPr>
        <w:t xml:space="preserve">обоснований бюджетных ассигнований для получателей бюджетных средств </w:t>
      </w:r>
      <w:r w:rsidRPr="00B724EF">
        <w:rPr>
          <w:rStyle w:val="CharStyle6"/>
          <w:rFonts w:ascii="Times New Roman" w:hAnsi="Times New Roman"/>
          <w:b/>
          <w:color w:val="000000"/>
          <w:sz w:val="24"/>
          <w:szCs w:val="24"/>
        </w:rPr>
        <w:t>и создание на федеральном уровне единой системы обоснования расходов;</w:t>
      </w:r>
    </w:p>
    <w:p w:rsidR="00B724EF" w:rsidRPr="00B724EF" w:rsidRDefault="00B724EF" w:rsidP="006A22F2">
      <w:pPr>
        <w:pStyle w:val="ConsPlusTitle"/>
        <w:widowControl/>
        <w:numPr>
          <w:ilvl w:val="0"/>
          <w:numId w:val="15"/>
        </w:numPr>
        <w:tabs>
          <w:tab w:val="left" w:pos="540"/>
        </w:tabs>
        <w:spacing w:before="120" w:after="120" w:line="276" w:lineRule="auto"/>
        <w:ind w:left="357" w:hanging="357"/>
        <w:jc w:val="both"/>
        <w:rPr>
          <w:rStyle w:val="CharStyle6"/>
          <w:b w:val="0"/>
          <w:color w:val="000000"/>
        </w:rPr>
      </w:pPr>
      <w:r w:rsidRPr="00B724EF">
        <w:rPr>
          <w:rStyle w:val="CharStyle6"/>
          <w:b w:val="0"/>
          <w:color w:val="000000"/>
        </w:rPr>
        <w:t xml:space="preserve">введение в процедуру планирования бюджетных инвестиций в объекты капитального строительства </w:t>
      </w:r>
      <w:r w:rsidRPr="00B724EF">
        <w:rPr>
          <w:rStyle w:val="CharStyle6"/>
          <w:color w:val="000000"/>
        </w:rPr>
        <w:t>механизма обоснования инвестиций</w:t>
      </w:r>
      <w:r w:rsidRPr="00B724EF">
        <w:rPr>
          <w:rStyle w:val="CharStyle6"/>
          <w:b w:val="0"/>
          <w:color w:val="000000"/>
        </w:rPr>
        <w:t xml:space="preserve"> и проведения его </w:t>
      </w:r>
      <w:r w:rsidRPr="00B724EF">
        <w:rPr>
          <w:rStyle w:val="CharStyle6"/>
          <w:color w:val="000000"/>
        </w:rPr>
        <w:t>технологического и ценового аудита</w:t>
      </w:r>
      <w:r w:rsidRPr="00B724EF">
        <w:rPr>
          <w:rStyle w:val="CharStyle6"/>
          <w:b w:val="0"/>
          <w:color w:val="000000"/>
        </w:rPr>
        <w:t>;</w:t>
      </w:r>
    </w:p>
    <w:p w:rsidR="00B724EF" w:rsidRPr="00B724EF" w:rsidRDefault="00B724EF" w:rsidP="006A22F2">
      <w:pPr>
        <w:pStyle w:val="Style4"/>
        <w:numPr>
          <w:ilvl w:val="0"/>
          <w:numId w:val="15"/>
        </w:numPr>
        <w:spacing w:before="120" w:after="120" w:line="322" w:lineRule="exact"/>
        <w:jc w:val="both"/>
        <w:rPr>
          <w:rStyle w:val="CharStyle6"/>
          <w:rFonts w:ascii="Times New Roman" w:hAnsi="Times New Roman"/>
          <w:b/>
          <w:color w:val="000000"/>
          <w:sz w:val="24"/>
          <w:szCs w:val="24"/>
        </w:rPr>
      </w:pPr>
      <w:r w:rsidRPr="00B724EF">
        <w:rPr>
          <w:rStyle w:val="CharStyle6"/>
          <w:rFonts w:ascii="Times New Roman" w:hAnsi="Times New Roman"/>
          <w:b/>
          <w:color w:val="000000"/>
          <w:sz w:val="24"/>
          <w:szCs w:val="24"/>
        </w:rPr>
        <w:t xml:space="preserve">формирование и ведение </w:t>
      </w:r>
      <w:r w:rsidRPr="00B724EF">
        <w:rPr>
          <w:rStyle w:val="CharStyle6"/>
          <w:rFonts w:ascii="Times New Roman" w:hAnsi="Times New Roman"/>
          <w:color w:val="000000"/>
          <w:sz w:val="24"/>
          <w:szCs w:val="24"/>
        </w:rPr>
        <w:t>реестра конечных получателей субсидий</w:t>
      </w:r>
      <w:r w:rsidRPr="00B724EF">
        <w:rPr>
          <w:rStyle w:val="CharStyle6"/>
          <w:rFonts w:ascii="Times New Roman" w:hAnsi="Times New Roman"/>
          <w:b/>
          <w:color w:val="000000"/>
          <w:sz w:val="24"/>
          <w:szCs w:val="24"/>
        </w:rPr>
        <w:t xml:space="preserve"> из бюджета;</w:t>
      </w:r>
    </w:p>
    <w:p w:rsidR="00B724EF" w:rsidRPr="00B724EF" w:rsidRDefault="00B724EF" w:rsidP="006A22F2">
      <w:pPr>
        <w:pStyle w:val="Style4"/>
        <w:numPr>
          <w:ilvl w:val="0"/>
          <w:numId w:val="15"/>
        </w:numPr>
        <w:spacing w:before="120" w:after="120" w:line="322" w:lineRule="exact"/>
        <w:jc w:val="both"/>
        <w:rPr>
          <w:rStyle w:val="CharStyle6"/>
          <w:rFonts w:ascii="Times New Roman" w:hAnsi="Times New Roman"/>
          <w:b/>
          <w:color w:val="000000"/>
          <w:sz w:val="24"/>
          <w:szCs w:val="24"/>
        </w:rPr>
      </w:pPr>
      <w:r w:rsidRPr="00B724EF">
        <w:rPr>
          <w:rStyle w:val="CharStyle6"/>
          <w:rFonts w:ascii="Times New Roman" w:hAnsi="Times New Roman"/>
          <w:b/>
          <w:color w:val="000000"/>
          <w:sz w:val="24"/>
          <w:szCs w:val="24"/>
        </w:rPr>
        <w:lastRenderedPageBreak/>
        <w:t xml:space="preserve">продолжение работы по установлению </w:t>
      </w:r>
      <w:r w:rsidRPr="00B724EF">
        <w:rPr>
          <w:rStyle w:val="CharStyle6"/>
          <w:rFonts w:ascii="Times New Roman" w:hAnsi="Times New Roman"/>
          <w:color w:val="000000"/>
          <w:sz w:val="24"/>
          <w:szCs w:val="24"/>
        </w:rPr>
        <w:t>общих требований к правилам предоставления грантов</w:t>
      </w:r>
      <w:r w:rsidRPr="00B724EF">
        <w:rPr>
          <w:rStyle w:val="CharStyle6"/>
          <w:rFonts w:ascii="Times New Roman" w:hAnsi="Times New Roman"/>
          <w:b/>
          <w:color w:val="000000"/>
          <w:sz w:val="24"/>
          <w:szCs w:val="24"/>
        </w:rPr>
        <w:t xml:space="preserve"> в форме субсидий различным категориям грантополучателей, а также разработке и утверждению типовых форм соглашений о предоставлении указанных грантов;</w:t>
      </w:r>
    </w:p>
    <w:p w:rsidR="00B724EF" w:rsidRPr="00B724EF" w:rsidRDefault="00B724EF" w:rsidP="006A22F2">
      <w:pPr>
        <w:pStyle w:val="Style4"/>
        <w:numPr>
          <w:ilvl w:val="0"/>
          <w:numId w:val="15"/>
        </w:numPr>
        <w:spacing w:before="120" w:after="120" w:line="322" w:lineRule="exact"/>
        <w:jc w:val="both"/>
        <w:rPr>
          <w:rStyle w:val="CharStyle6"/>
          <w:rFonts w:ascii="Times New Roman" w:hAnsi="Times New Roman"/>
          <w:b/>
          <w:color w:val="000000"/>
          <w:sz w:val="24"/>
          <w:szCs w:val="24"/>
        </w:rPr>
      </w:pPr>
      <w:r w:rsidRPr="00B724EF">
        <w:rPr>
          <w:rStyle w:val="CharStyle6"/>
          <w:rFonts w:ascii="Times New Roman" w:hAnsi="Times New Roman"/>
          <w:b/>
          <w:color w:val="000000"/>
          <w:sz w:val="24"/>
          <w:szCs w:val="24"/>
        </w:rPr>
        <w:t xml:space="preserve">совершенствование </w:t>
      </w:r>
      <w:r w:rsidRPr="00B724EF">
        <w:rPr>
          <w:rStyle w:val="CharStyle6"/>
          <w:rFonts w:ascii="Times New Roman" w:hAnsi="Times New Roman"/>
          <w:color w:val="000000"/>
          <w:sz w:val="24"/>
          <w:szCs w:val="24"/>
        </w:rPr>
        <w:t>порядка авансирования</w:t>
      </w:r>
      <w:r w:rsidRPr="00B724EF">
        <w:rPr>
          <w:rStyle w:val="CharStyle6"/>
          <w:rFonts w:ascii="Times New Roman" w:hAnsi="Times New Roman"/>
          <w:b/>
          <w:color w:val="000000"/>
          <w:sz w:val="24"/>
          <w:szCs w:val="24"/>
        </w:rPr>
        <w:t xml:space="preserve"> по государственным контрактам (контрактам, договорам);</w:t>
      </w:r>
    </w:p>
    <w:p w:rsidR="00B724EF" w:rsidRPr="00B724EF" w:rsidRDefault="00B724EF" w:rsidP="006A22F2">
      <w:pPr>
        <w:pStyle w:val="Style4"/>
        <w:numPr>
          <w:ilvl w:val="0"/>
          <w:numId w:val="15"/>
        </w:numPr>
        <w:spacing w:before="120" w:after="120" w:line="322" w:lineRule="exact"/>
        <w:ind w:left="357" w:hanging="357"/>
        <w:jc w:val="both"/>
        <w:rPr>
          <w:rStyle w:val="CharStyle6"/>
          <w:rFonts w:ascii="Times New Roman" w:hAnsi="Times New Roman"/>
          <w:b/>
          <w:color w:val="000000"/>
          <w:sz w:val="24"/>
          <w:szCs w:val="24"/>
        </w:rPr>
      </w:pPr>
      <w:r w:rsidRPr="00B724EF">
        <w:rPr>
          <w:rStyle w:val="CharStyle6"/>
          <w:rFonts w:ascii="Times New Roman" w:hAnsi="Times New Roman"/>
          <w:color w:val="000000"/>
          <w:sz w:val="24"/>
          <w:szCs w:val="24"/>
        </w:rPr>
        <w:t>расширение применения механизма казначейского сопровождения</w:t>
      </w:r>
      <w:r w:rsidRPr="00B724EF">
        <w:rPr>
          <w:rStyle w:val="CharStyle6"/>
          <w:rFonts w:ascii="Times New Roman" w:hAnsi="Times New Roman"/>
          <w:b/>
          <w:color w:val="000000"/>
          <w:sz w:val="24"/>
          <w:szCs w:val="24"/>
        </w:rPr>
        <w:t xml:space="preserve"> на новые виды целевых средств, в том числе с применением казначейского обеспечения обязательств;</w:t>
      </w:r>
    </w:p>
    <w:p w:rsidR="00B724EF" w:rsidRPr="00B724EF" w:rsidRDefault="00B724EF" w:rsidP="006A22F2">
      <w:pPr>
        <w:pStyle w:val="ConsPlusTitle"/>
        <w:widowControl/>
        <w:numPr>
          <w:ilvl w:val="0"/>
          <w:numId w:val="15"/>
        </w:numPr>
        <w:tabs>
          <w:tab w:val="left" w:pos="540"/>
        </w:tabs>
        <w:spacing w:before="120" w:after="120" w:line="276" w:lineRule="auto"/>
        <w:jc w:val="both"/>
        <w:rPr>
          <w:rStyle w:val="CharStyle6"/>
          <w:b w:val="0"/>
          <w:color w:val="000000"/>
        </w:rPr>
      </w:pPr>
      <w:r w:rsidRPr="00B724EF">
        <w:rPr>
          <w:rStyle w:val="CharStyle6"/>
          <w:b w:val="0"/>
          <w:color w:val="000000"/>
        </w:rPr>
        <w:t xml:space="preserve">внедрение </w:t>
      </w:r>
      <w:r w:rsidRPr="00B724EF">
        <w:rPr>
          <w:rStyle w:val="CharStyle6"/>
          <w:color w:val="000000"/>
        </w:rPr>
        <w:t>бюджетного мониторинга</w:t>
      </w:r>
      <w:r w:rsidRPr="00B724EF">
        <w:rPr>
          <w:rStyle w:val="CharStyle6"/>
          <w:b w:val="0"/>
          <w:color w:val="000000"/>
        </w:rPr>
        <w:t xml:space="preserve"> (сбора, анализа информации о движении и использовании бюджетных средств) на всех этапах бюджетного процесса.</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 xml:space="preserve">В сфере </w:t>
      </w:r>
      <w:r w:rsidRPr="00B724EF">
        <w:rPr>
          <w:rFonts w:ascii="Times New Roman" w:hAnsi="Times New Roman"/>
          <w:b/>
          <w:sz w:val="24"/>
          <w:szCs w:val="24"/>
        </w:rPr>
        <w:t>управления временно свободными остатками</w:t>
      </w:r>
      <w:r w:rsidRPr="00B724EF">
        <w:rPr>
          <w:rFonts w:ascii="Times New Roman" w:hAnsi="Times New Roman"/>
          <w:sz w:val="24"/>
          <w:szCs w:val="24"/>
        </w:rPr>
        <w:t xml:space="preserve"> средств федерального бюджета предполагается:</w:t>
      </w:r>
    </w:p>
    <w:p w:rsidR="00B724EF" w:rsidRPr="00B724EF" w:rsidRDefault="00B724EF" w:rsidP="006A22F2">
      <w:pPr>
        <w:pStyle w:val="ConsPlusTitle"/>
        <w:widowControl/>
        <w:numPr>
          <w:ilvl w:val="0"/>
          <w:numId w:val="15"/>
        </w:numPr>
        <w:tabs>
          <w:tab w:val="left" w:pos="540"/>
        </w:tabs>
        <w:spacing w:before="120" w:after="120" w:line="276" w:lineRule="auto"/>
        <w:jc w:val="both"/>
        <w:rPr>
          <w:rStyle w:val="CharStyle6"/>
          <w:b w:val="0"/>
          <w:color w:val="000000"/>
        </w:rPr>
      </w:pPr>
      <w:r w:rsidRPr="00B724EF">
        <w:rPr>
          <w:rStyle w:val="CharStyle6"/>
          <w:b w:val="0"/>
          <w:color w:val="000000"/>
        </w:rPr>
        <w:t xml:space="preserve">переход к функционированию </w:t>
      </w:r>
      <w:r w:rsidRPr="00B724EF">
        <w:rPr>
          <w:rStyle w:val="CharStyle6"/>
          <w:color w:val="000000"/>
        </w:rPr>
        <w:t>единого казначейского счета</w:t>
      </w:r>
      <w:r w:rsidRPr="00B724EF">
        <w:rPr>
          <w:rStyle w:val="CharStyle6"/>
          <w:b w:val="0"/>
          <w:color w:val="000000"/>
        </w:rPr>
        <w:t xml:space="preserve"> (в Банке России – единый казначейский счет, в Федеральном казначействе – казначейские счета публично-правовых образований и юридических лиц, не являющихся участниками бюджетного процесса), что позволит также сократить сроки проведения операций;</w:t>
      </w:r>
    </w:p>
    <w:p w:rsidR="00B724EF" w:rsidRPr="00B724EF" w:rsidRDefault="00B724EF" w:rsidP="006A22F2">
      <w:pPr>
        <w:pStyle w:val="ConsPlusTitle"/>
        <w:widowControl/>
        <w:numPr>
          <w:ilvl w:val="0"/>
          <w:numId w:val="15"/>
        </w:numPr>
        <w:tabs>
          <w:tab w:val="left" w:pos="540"/>
        </w:tabs>
        <w:spacing w:before="120" w:after="120" w:line="276" w:lineRule="auto"/>
        <w:jc w:val="both"/>
        <w:rPr>
          <w:rStyle w:val="CharStyle6"/>
          <w:b w:val="0"/>
          <w:color w:val="000000"/>
        </w:rPr>
      </w:pPr>
      <w:r w:rsidRPr="00B724EF">
        <w:rPr>
          <w:rStyle w:val="CharStyle6"/>
          <w:b w:val="0"/>
          <w:color w:val="000000"/>
        </w:rPr>
        <w:t xml:space="preserve">дальнейшее развитие инструментов </w:t>
      </w:r>
      <w:r w:rsidRPr="00B724EF">
        <w:rPr>
          <w:rStyle w:val="CharStyle6"/>
          <w:color w:val="000000"/>
        </w:rPr>
        <w:t xml:space="preserve">управления ликвидностью: </w:t>
      </w:r>
      <w:r w:rsidRPr="00B724EF">
        <w:rPr>
          <w:rStyle w:val="CharStyle6"/>
          <w:b w:val="0"/>
          <w:color w:val="000000"/>
        </w:rPr>
        <w:t>размещение временно свободных остатков на депозитах через клиринговые организации, проведение операций на организованных торгах.</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 xml:space="preserve">В целях обеспечения справедливой конкуренции на рынке государственных (муниципальных) услуг в предстоящем периоде предстоит </w:t>
      </w:r>
      <w:r w:rsidRPr="00B724EF">
        <w:rPr>
          <w:rFonts w:ascii="Times New Roman" w:hAnsi="Times New Roman"/>
          <w:b/>
          <w:sz w:val="24"/>
          <w:szCs w:val="24"/>
        </w:rPr>
        <w:t xml:space="preserve">завершение формирования нормативно правовой базы, обеспечивающей </w:t>
      </w:r>
      <w:r w:rsidRPr="00B724EF">
        <w:rPr>
          <w:rFonts w:ascii="Times New Roman" w:hAnsi="Times New Roman"/>
          <w:sz w:val="24"/>
          <w:szCs w:val="24"/>
        </w:rPr>
        <w:t>доступ негосударственных организаций к оказанию государственных услуг</w:t>
      </w:r>
      <w:r w:rsidRPr="00B724EF">
        <w:rPr>
          <w:rFonts w:ascii="Times New Roman" w:hAnsi="Times New Roman"/>
          <w:b/>
          <w:sz w:val="24"/>
          <w:szCs w:val="24"/>
        </w:rPr>
        <w:t>.</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 xml:space="preserve">Необходимым условием повышения эффективности бюджетных расходов также является обеспечение </w:t>
      </w:r>
      <w:r w:rsidRPr="00B724EF">
        <w:rPr>
          <w:rFonts w:ascii="Times New Roman" w:hAnsi="Times New Roman"/>
          <w:b/>
          <w:sz w:val="24"/>
          <w:szCs w:val="24"/>
        </w:rPr>
        <w:t>подотчетности (подконтрольности)</w:t>
      </w:r>
      <w:r w:rsidRPr="00B724EF">
        <w:rPr>
          <w:rFonts w:ascii="Times New Roman" w:hAnsi="Times New Roman"/>
          <w:sz w:val="24"/>
          <w:szCs w:val="24"/>
        </w:rPr>
        <w:t xml:space="preserve"> бюджетных расходов. В рамках данного направления предполагается:</w:t>
      </w:r>
    </w:p>
    <w:p w:rsidR="00B724EF" w:rsidRPr="00B724EF" w:rsidRDefault="00B724EF" w:rsidP="006A22F2">
      <w:pPr>
        <w:pStyle w:val="Style4"/>
        <w:numPr>
          <w:ilvl w:val="0"/>
          <w:numId w:val="15"/>
        </w:numPr>
        <w:spacing w:before="120" w:after="120" w:line="322" w:lineRule="exact"/>
        <w:jc w:val="both"/>
        <w:rPr>
          <w:rStyle w:val="CharStyle6"/>
          <w:rFonts w:ascii="Times New Roman" w:hAnsi="Times New Roman"/>
          <w:b/>
          <w:color w:val="000000"/>
          <w:sz w:val="24"/>
          <w:szCs w:val="24"/>
        </w:rPr>
      </w:pPr>
      <w:r w:rsidRPr="00B724EF">
        <w:rPr>
          <w:rStyle w:val="CharStyle6"/>
          <w:rFonts w:ascii="Times New Roman" w:hAnsi="Times New Roman"/>
          <w:b/>
          <w:color w:val="000000"/>
          <w:sz w:val="24"/>
          <w:szCs w:val="24"/>
        </w:rPr>
        <w:t xml:space="preserve">внедрение и применение </w:t>
      </w:r>
      <w:r w:rsidRPr="00B724EF">
        <w:rPr>
          <w:rStyle w:val="CharStyle6"/>
          <w:rFonts w:ascii="Times New Roman" w:hAnsi="Times New Roman"/>
          <w:color w:val="000000"/>
          <w:sz w:val="24"/>
          <w:szCs w:val="24"/>
        </w:rPr>
        <w:t>единых федеральных стандартов</w:t>
      </w:r>
      <w:r w:rsidRPr="00B724EF">
        <w:rPr>
          <w:rStyle w:val="CharStyle6"/>
          <w:rFonts w:ascii="Times New Roman" w:hAnsi="Times New Roman"/>
          <w:b/>
          <w:color w:val="000000"/>
          <w:sz w:val="24"/>
          <w:szCs w:val="24"/>
        </w:rPr>
        <w:t xml:space="preserve"> </w:t>
      </w:r>
      <w:r w:rsidRPr="00B724EF">
        <w:rPr>
          <w:rStyle w:val="CharStyle6"/>
          <w:rFonts w:ascii="Times New Roman" w:hAnsi="Times New Roman"/>
          <w:color w:val="000000"/>
          <w:sz w:val="24"/>
          <w:szCs w:val="24"/>
        </w:rPr>
        <w:t>внутреннего государственного (муниципального) финансового контроля</w:t>
      </w:r>
      <w:r w:rsidRPr="00B724EF">
        <w:rPr>
          <w:rStyle w:val="CharStyle6"/>
          <w:rFonts w:ascii="Times New Roman" w:hAnsi="Times New Roman"/>
          <w:b/>
          <w:color w:val="000000"/>
          <w:sz w:val="24"/>
          <w:szCs w:val="24"/>
        </w:rPr>
        <w:t>, устанавливающих единые принципы, определения и основания проведения проверок, ревизий и обследований, права и обязанности должностных лиц органов контроля и объектов контроля, закрепляющих риск-ориентированные подходы к планированию контрольной деятельности, а также обеспечивающих исключение дублирования контрольных мероприятий органов внешнего государственного (муниципального) финансового контроля;</w:t>
      </w:r>
    </w:p>
    <w:p w:rsidR="00B724EF" w:rsidRPr="00B724EF" w:rsidRDefault="00B724EF" w:rsidP="006A22F2">
      <w:pPr>
        <w:pStyle w:val="Style4"/>
        <w:numPr>
          <w:ilvl w:val="0"/>
          <w:numId w:val="15"/>
        </w:numPr>
        <w:spacing w:before="120" w:after="120" w:line="322" w:lineRule="exact"/>
        <w:jc w:val="both"/>
        <w:rPr>
          <w:rStyle w:val="CharStyle6"/>
          <w:rFonts w:ascii="Times New Roman" w:hAnsi="Times New Roman"/>
          <w:color w:val="000000"/>
          <w:sz w:val="24"/>
          <w:szCs w:val="24"/>
        </w:rPr>
      </w:pPr>
      <w:r w:rsidRPr="00B724EF">
        <w:rPr>
          <w:rStyle w:val="CharStyle6"/>
          <w:rFonts w:ascii="Times New Roman" w:hAnsi="Times New Roman"/>
          <w:b/>
          <w:color w:val="000000"/>
          <w:sz w:val="24"/>
          <w:szCs w:val="24"/>
        </w:rPr>
        <w:t xml:space="preserve">обеспечение взаимосвязи внутреннего финансового контроля и внутреннего финансового аудита с системой оценки качества финансового менеджмента главных администраторов (администраторов) бюджетных средств за внедрения и применения </w:t>
      </w:r>
      <w:r w:rsidRPr="00B724EF">
        <w:rPr>
          <w:rStyle w:val="CharStyle6"/>
          <w:rFonts w:ascii="Times New Roman" w:hAnsi="Times New Roman"/>
          <w:color w:val="000000"/>
          <w:sz w:val="24"/>
          <w:szCs w:val="24"/>
        </w:rPr>
        <w:t>единых федеральных стандартов внутреннего финансового аудита;</w:t>
      </w:r>
    </w:p>
    <w:p w:rsidR="00B724EF" w:rsidRPr="00B724EF" w:rsidRDefault="00B724EF" w:rsidP="006A22F2">
      <w:pPr>
        <w:pStyle w:val="Style4"/>
        <w:numPr>
          <w:ilvl w:val="0"/>
          <w:numId w:val="15"/>
        </w:numPr>
        <w:spacing w:before="120" w:after="120" w:line="322" w:lineRule="exact"/>
        <w:jc w:val="both"/>
        <w:rPr>
          <w:rStyle w:val="CharStyle6"/>
          <w:rFonts w:ascii="Times New Roman" w:hAnsi="Times New Roman"/>
          <w:color w:val="000000"/>
          <w:sz w:val="24"/>
          <w:szCs w:val="24"/>
        </w:rPr>
      </w:pPr>
      <w:r w:rsidRPr="00B724EF">
        <w:rPr>
          <w:rStyle w:val="CharStyle6"/>
          <w:rFonts w:ascii="Times New Roman" w:hAnsi="Times New Roman"/>
          <w:b/>
          <w:color w:val="000000"/>
          <w:sz w:val="24"/>
          <w:szCs w:val="24"/>
        </w:rPr>
        <w:lastRenderedPageBreak/>
        <w:t xml:space="preserve">совершенствование методологии ведения бюджетного учета, составления финансовой отчетности в целях повышения качества и прозрачности информации, раскрываемой в бюджетной отчётности, путем внедрения и применения </w:t>
      </w:r>
      <w:r w:rsidRPr="00B724EF">
        <w:rPr>
          <w:rStyle w:val="CharStyle6"/>
          <w:rFonts w:ascii="Times New Roman" w:hAnsi="Times New Roman"/>
          <w:color w:val="000000"/>
          <w:sz w:val="24"/>
          <w:szCs w:val="24"/>
        </w:rPr>
        <w:t>федеральных стандартов бухгалтерского учета для организаций государственного сектора;</w:t>
      </w:r>
    </w:p>
    <w:p w:rsidR="00B724EF" w:rsidRPr="00B724EF" w:rsidRDefault="00B724EF" w:rsidP="006A22F2">
      <w:pPr>
        <w:pStyle w:val="Style4"/>
        <w:numPr>
          <w:ilvl w:val="0"/>
          <w:numId w:val="15"/>
        </w:numPr>
        <w:spacing w:before="120" w:after="120" w:line="322" w:lineRule="exact"/>
        <w:jc w:val="both"/>
        <w:rPr>
          <w:rStyle w:val="CharStyle6"/>
          <w:rFonts w:ascii="Times New Roman" w:hAnsi="Times New Roman"/>
          <w:color w:val="000000"/>
          <w:sz w:val="24"/>
          <w:szCs w:val="24"/>
        </w:rPr>
      </w:pPr>
      <w:r w:rsidRPr="00B724EF">
        <w:rPr>
          <w:rStyle w:val="CharStyle6"/>
          <w:rFonts w:ascii="Times New Roman" w:hAnsi="Times New Roman"/>
          <w:b/>
          <w:color w:val="000000"/>
          <w:sz w:val="24"/>
          <w:szCs w:val="24"/>
        </w:rPr>
        <w:t>развитие методологии формирования информации</w:t>
      </w:r>
      <w:r w:rsidRPr="00B724EF">
        <w:rPr>
          <w:rFonts w:ascii="Times New Roman" w:hAnsi="Times New Roman"/>
          <w:sz w:val="24"/>
          <w:szCs w:val="24"/>
        </w:rPr>
        <w:t xml:space="preserve"> </w:t>
      </w:r>
      <w:r w:rsidRPr="00B724EF">
        <w:rPr>
          <w:rStyle w:val="CharStyle6"/>
          <w:rFonts w:ascii="Times New Roman" w:hAnsi="Times New Roman"/>
          <w:color w:val="000000"/>
          <w:sz w:val="24"/>
          <w:szCs w:val="24"/>
        </w:rPr>
        <w:t>по статистике государственных финансов;</w:t>
      </w:r>
    </w:p>
    <w:p w:rsidR="00B724EF" w:rsidRPr="00B724EF" w:rsidRDefault="00B724EF" w:rsidP="006A22F2">
      <w:pPr>
        <w:pStyle w:val="Style4"/>
        <w:numPr>
          <w:ilvl w:val="0"/>
          <w:numId w:val="15"/>
        </w:numPr>
        <w:spacing w:before="120" w:after="120" w:line="322" w:lineRule="exact"/>
        <w:jc w:val="both"/>
        <w:rPr>
          <w:rStyle w:val="CharStyle6"/>
          <w:rFonts w:ascii="Times New Roman" w:hAnsi="Times New Roman"/>
          <w:color w:val="000000"/>
          <w:sz w:val="24"/>
          <w:szCs w:val="24"/>
        </w:rPr>
      </w:pPr>
      <w:r w:rsidRPr="00B724EF">
        <w:rPr>
          <w:rStyle w:val="CharStyle6"/>
          <w:rFonts w:ascii="Times New Roman" w:hAnsi="Times New Roman"/>
          <w:b/>
          <w:color w:val="000000"/>
          <w:sz w:val="24"/>
          <w:szCs w:val="24"/>
        </w:rPr>
        <w:t>обеспечение</w:t>
      </w:r>
      <w:r w:rsidRPr="00B724EF">
        <w:rPr>
          <w:rStyle w:val="CharStyle6"/>
          <w:rFonts w:ascii="Times New Roman" w:hAnsi="Times New Roman"/>
          <w:color w:val="000000"/>
          <w:sz w:val="24"/>
          <w:szCs w:val="24"/>
        </w:rPr>
        <w:t xml:space="preserve"> открытости бюджетного процесса и вовлечение в него граждан.</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 xml:space="preserve">В целях повышения эффективности государственных расходов предполагается дальнейшее </w:t>
      </w:r>
      <w:r w:rsidRPr="00B724EF">
        <w:rPr>
          <w:rFonts w:ascii="Times New Roman" w:hAnsi="Times New Roman"/>
          <w:b/>
          <w:sz w:val="24"/>
          <w:szCs w:val="24"/>
        </w:rPr>
        <w:t>развитие контрактной системы</w:t>
      </w:r>
      <w:r w:rsidRPr="00B724EF">
        <w:rPr>
          <w:rFonts w:ascii="Times New Roman" w:hAnsi="Times New Roman"/>
          <w:sz w:val="24"/>
          <w:szCs w:val="24"/>
        </w:rPr>
        <w:t xml:space="preserve"> в сфере закупок товаров, работ, услуг для обеспечения государственных и муниципальных нужд посредством:</w:t>
      </w:r>
    </w:p>
    <w:p w:rsidR="00B724EF" w:rsidRPr="00B724EF" w:rsidRDefault="00B724EF" w:rsidP="006A22F2">
      <w:pPr>
        <w:pStyle w:val="ConsPlusTitle"/>
        <w:widowControl/>
        <w:numPr>
          <w:ilvl w:val="0"/>
          <w:numId w:val="15"/>
        </w:numPr>
        <w:tabs>
          <w:tab w:val="left" w:pos="540"/>
        </w:tabs>
        <w:spacing w:before="120" w:after="120" w:line="276" w:lineRule="auto"/>
        <w:jc w:val="both"/>
        <w:rPr>
          <w:rStyle w:val="CharStyle6"/>
          <w:b w:val="0"/>
          <w:color w:val="000000"/>
        </w:rPr>
      </w:pPr>
      <w:r w:rsidRPr="00B724EF">
        <w:rPr>
          <w:rStyle w:val="CharStyle6"/>
          <w:b w:val="0"/>
          <w:color w:val="000000"/>
        </w:rPr>
        <w:t xml:space="preserve">завершения работы по переводу всех государственных и муниципальных закупок </w:t>
      </w:r>
      <w:r w:rsidRPr="00B724EF">
        <w:rPr>
          <w:rStyle w:val="CharStyle6"/>
          <w:color w:val="000000"/>
        </w:rPr>
        <w:t>в электронную форму</w:t>
      </w:r>
      <w:r w:rsidRPr="00B724EF">
        <w:rPr>
          <w:rStyle w:val="CharStyle6"/>
          <w:b w:val="0"/>
          <w:color w:val="000000"/>
        </w:rPr>
        <w:t>;</w:t>
      </w:r>
    </w:p>
    <w:p w:rsidR="00B724EF" w:rsidRPr="00B724EF" w:rsidRDefault="00B724EF" w:rsidP="006A22F2">
      <w:pPr>
        <w:pStyle w:val="ConsPlusTitle"/>
        <w:widowControl/>
        <w:numPr>
          <w:ilvl w:val="0"/>
          <w:numId w:val="15"/>
        </w:numPr>
        <w:tabs>
          <w:tab w:val="left" w:pos="540"/>
        </w:tabs>
        <w:spacing w:before="120" w:after="120" w:line="276" w:lineRule="auto"/>
        <w:jc w:val="both"/>
        <w:rPr>
          <w:rStyle w:val="CharStyle6"/>
          <w:b w:val="0"/>
          <w:color w:val="000000"/>
        </w:rPr>
      </w:pPr>
      <w:r w:rsidRPr="00B724EF">
        <w:rPr>
          <w:rStyle w:val="CharStyle6"/>
          <w:b w:val="0"/>
          <w:color w:val="000000"/>
        </w:rPr>
        <w:t xml:space="preserve">дальнейшего наполнения </w:t>
      </w:r>
      <w:r w:rsidRPr="00B724EF">
        <w:rPr>
          <w:rStyle w:val="CharStyle6"/>
          <w:color w:val="000000"/>
        </w:rPr>
        <w:t>каталога товаров, работ, услуг</w:t>
      </w:r>
      <w:r w:rsidRPr="00B724EF">
        <w:rPr>
          <w:rStyle w:val="CharStyle6"/>
          <w:b w:val="0"/>
          <w:color w:val="000000"/>
        </w:rPr>
        <w:t xml:space="preserve"> для обеспечения государственных и муниципальных нужд.</w:t>
      </w:r>
    </w:p>
    <w:p w:rsidR="00B724EF" w:rsidRPr="00B724EF" w:rsidRDefault="00B724EF" w:rsidP="006A22F2">
      <w:pPr>
        <w:pStyle w:val="ConsPlusTitle"/>
        <w:widowControl/>
        <w:numPr>
          <w:ilvl w:val="0"/>
          <w:numId w:val="15"/>
        </w:numPr>
        <w:tabs>
          <w:tab w:val="left" w:pos="540"/>
        </w:tabs>
        <w:spacing w:before="120" w:after="120" w:line="276" w:lineRule="auto"/>
        <w:jc w:val="both"/>
      </w:pPr>
      <w:r w:rsidRPr="00B724EF">
        <w:rPr>
          <w:rStyle w:val="CharStyle6"/>
          <w:b w:val="0"/>
          <w:color w:val="000000"/>
        </w:rPr>
        <w:t>дальнейшего</w:t>
      </w:r>
      <w:r w:rsidRPr="00B724EF">
        <w:t xml:space="preserve"> упрощения</w:t>
      </w:r>
      <w:r w:rsidRPr="00B724EF">
        <w:rPr>
          <w:b w:val="0"/>
        </w:rPr>
        <w:t xml:space="preserve"> действий должностных лиц заказчиков при нормировании, планировании, определении поставщиков (подрядчиков, исполнителей), и участников закупок при подготовке заявок на участие в закупках;</w:t>
      </w:r>
    </w:p>
    <w:p w:rsidR="00B724EF" w:rsidRPr="00B724EF" w:rsidRDefault="00B724EF" w:rsidP="006A22F2">
      <w:pPr>
        <w:pStyle w:val="ConsPlusTitle"/>
        <w:widowControl/>
        <w:numPr>
          <w:ilvl w:val="0"/>
          <w:numId w:val="15"/>
        </w:numPr>
        <w:tabs>
          <w:tab w:val="left" w:pos="540"/>
        </w:tabs>
        <w:spacing w:before="120" w:after="120" w:line="276" w:lineRule="auto"/>
        <w:jc w:val="both"/>
      </w:pPr>
      <w:r w:rsidRPr="00B724EF">
        <w:rPr>
          <w:rStyle w:val="CharStyle6"/>
          <w:b w:val="0"/>
          <w:color w:val="000000"/>
        </w:rPr>
        <w:t>упорядочения</w:t>
      </w:r>
      <w:r w:rsidRPr="00B724EF">
        <w:t xml:space="preserve"> полномочий органов контроля.</w:t>
      </w:r>
    </w:p>
    <w:p w:rsidR="00B724EF" w:rsidRPr="00B724EF" w:rsidRDefault="00B724EF" w:rsidP="00B724EF">
      <w:pPr>
        <w:pStyle w:val="Style4"/>
        <w:shd w:val="clear" w:color="auto" w:fill="auto"/>
        <w:spacing w:before="120" w:after="120" w:line="276" w:lineRule="auto"/>
        <w:jc w:val="both"/>
        <w:rPr>
          <w:rFonts w:ascii="Times New Roman" w:hAnsi="Times New Roman"/>
          <w:sz w:val="24"/>
          <w:szCs w:val="24"/>
        </w:rPr>
      </w:pPr>
      <w:r w:rsidRPr="00B724EF">
        <w:rPr>
          <w:rFonts w:ascii="Times New Roman" w:hAnsi="Times New Roman"/>
          <w:sz w:val="24"/>
          <w:szCs w:val="24"/>
        </w:rPr>
        <w:t>В целях формирования комплекса конкретных мер по повышению эффективности бюджетных расходов Правительством Российской Федерации будет утверждена Концепция повышения эффективности бюджетных расходов на 2019-2024 гг.</w:t>
      </w:r>
    </w:p>
    <w:p w:rsidR="00A36D53" w:rsidRPr="00721351" w:rsidRDefault="00A36D53" w:rsidP="00A36D53">
      <w:pPr>
        <w:pStyle w:val="20"/>
        <w:numPr>
          <w:ilvl w:val="1"/>
          <w:numId w:val="3"/>
        </w:numPr>
        <w:spacing w:before="240" w:after="240"/>
        <w:rPr>
          <w:rFonts w:ascii="Times New Roman" w:hAnsi="Times New Roman"/>
          <w:sz w:val="28"/>
          <w:szCs w:val="28"/>
        </w:rPr>
      </w:pPr>
      <w:bookmarkStart w:id="23" w:name="_Toc518648657"/>
      <w:r w:rsidRPr="00721351">
        <w:rPr>
          <w:rFonts w:ascii="Times New Roman" w:hAnsi="Times New Roman"/>
          <w:sz w:val="28"/>
          <w:szCs w:val="28"/>
        </w:rPr>
        <w:t>ТАМОЖЕННО-ТАРИФНОЕ РЕГУЛИРОВАНИЕ</w:t>
      </w:r>
      <w:bookmarkEnd w:id="23"/>
    </w:p>
    <w:p w:rsidR="00B724EF" w:rsidRPr="00B724EF" w:rsidRDefault="00B724EF" w:rsidP="00B724EF">
      <w:pPr>
        <w:pStyle w:val="Style4"/>
        <w:shd w:val="clear" w:color="auto" w:fill="auto"/>
        <w:spacing w:before="120" w:after="120" w:line="276" w:lineRule="auto"/>
        <w:jc w:val="both"/>
        <w:rPr>
          <w:rFonts w:ascii="Times New Roman" w:hAnsi="Times New Roman"/>
          <w:sz w:val="24"/>
          <w:szCs w:val="24"/>
        </w:rPr>
      </w:pPr>
      <w:r w:rsidRPr="00B724EF">
        <w:rPr>
          <w:rFonts w:ascii="Times New Roman" w:hAnsi="Times New Roman"/>
          <w:sz w:val="24"/>
          <w:szCs w:val="24"/>
        </w:rPr>
        <w:t>В прогнозный период ключевыми внешними вызовами для российской экономики и ее внешнеэкономического сектора, помимо проводимой отдельными странами санкционной политики в отношении России, являются:</w:t>
      </w:r>
    </w:p>
    <w:p w:rsidR="00B724EF" w:rsidRPr="00B724EF" w:rsidRDefault="00B724EF" w:rsidP="006A22F2">
      <w:pPr>
        <w:pStyle w:val="aa"/>
        <w:numPr>
          <w:ilvl w:val="0"/>
          <w:numId w:val="21"/>
        </w:numPr>
        <w:spacing w:before="120" w:after="120"/>
        <w:contextualSpacing w:val="0"/>
        <w:jc w:val="both"/>
        <w:rPr>
          <w:rFonts w:ascii="Times New Roman" w:hAnsi="Times New Roman"/>
          <w:sz w:val="24"/>
          <w:szCs w:val="24"/>
        </w:rPr>
      </w:pPr>
      <w:r w:rsidRPr="00B724EF">
        <w:rPr>
          <w:rFonts w:ascii="Times New Roman" w:hAnsi="Times New Roman"/>
          <w:sz w:val="24"/>
          <w:szCs w:val="24"/>
        </w:rPr>
        <w:t xml:space="preserve">сохранение геополитических рисков и угроз, которые могут привести к дестабилизации мировой экономики; сужение платежеспособного импортного спроса во многих странах, в том числе в развивающихся государствах – экспортерах сырьевых товаров (которые ранее рассматривались как перспективные рынки сбыта для российской продукции); </w:t>
      </w:r>
    </w:p>
    <w:p w:rsidR="00B724EF" w:rsidRPr="00B724EF" w:rsidRDefault="00B724EF" w:rsidP="006A22F2">
      <w:pPr>
        <w:pStyle w:val="aa"/>
        <w:numPr>
          <w:ilvl w:val="0"/>
          <w:numId w:val="21"/>
        </w:numPr>
        <w:spacing w:before="120" w:after="120"/>
        <w:contextualSpacing w:val="0"/>
        <w:jc w:val="both"/>
        <w:rPr>
          <w:rFonts w:ascii="Times New Roman" w:hAnsi="Times New Roman"/>
          <w:sz w:val="24"/>
          <w:szCs w:val="24"/>
        </w:rPr>
      </w:pPr>
      <w:r w:rsidRPr="00B724EF">
        <w:rPr>
          <w:rFonts w:ascii="Times New Roman" w:hAnsi="Times New Roman"/>
          <w:sz w:val="24"/>
          <w:szCs w:val="24"/>
        </w:rPr>
        <w:t xml:space="preserve">непредсказуемость дальнейших путей развития международной торговой системы и риски, обусловленные дальнейшим ростом протекционистских тенденций; </w:t>
      </w:r>
    </w:p>
    <w:p w:rsidR="00B724EF" w:rsidRPr="00B724EF" w:rsidRDefault="00B724EF" w:rsidP="006A22F2">
      <w:pPr>
        <w:pStyle w:val="aa"/>
        <w:numPr>
          <w:ilvl w:val="0"/>
          <w:numId w:val="21"/>
        </w:numPr>
        <w:spacing w:before="120" w:after="120"/>
        <w:contextualSpacing w:val="0"/>
        <w:jc w:val="both"/>
        <w:rPr>
          <w:rFonts w:ascii="Times New Roman" w:hAnsi="Times New Roman"/>
          <w:sz w:val="24"/>
          <w:szCs w:val="24"/>
        </w:rPr>
      </w:pPr>
      <w:r w:rsidRPr="00B724EF">
        <w:rPr>
          <w:rFonts w:ascii="Times New Roman" w:hAnsi="Times New Roman"/>
          <w:sz w:val="24"/>
          <w:szCs w:val="24"/>
        </w:rPr>
        <w:t>возможное в среднесрочной перспективе более существенное по сравнению с текущими темпами замедление динамики экономического роста Китая.</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lastRenderedPageBreak/>
        <w:t>В этих условиях таможенно-тарифная политика (1) должна быть направлена на поддержание рационального соотношения ввоза и вывоза товаров, повышение конкурентоспособности производителей, улучшение товарной структуры внешней торговли, стимулирование инвестиционных процессов в экономике, в том числе привлечение прямых иностранных инвестиций, (2) способствовать сдерживанию роста внутренних цен, (3) обеспечивать фискальную функцию бюджета, (4) сокращать прямые и косвенные издержки операторов внешнеэкономической деятельности.</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 xml:space="preserve">В среднесрочном периоде, учитывая международные обязательства России, будет осуществляться и, в основном, завершится постепенная либерализация импортного тарифа. </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В процессе либерализации торгового режима, связанного с обязательствами Российской Федерации в ВТО и установлением льготных торговых режимов с некоторыми странами, уровень ценовой конкурентоспособности отечественных производителей продовольственной продукции будет снижаться. Для особо чувствительных позиций необходимо проводить активный мониторинг внутреннего рынка для обеспечения своевременного рассмотрения на наднациональном уровне (в ЕЭК) возможности применения специальных защитных, антидемпинговых и компенсационных мер.</w:t>
      </w:r>
    </w:p>
    <w:p w:rsidR="00B724EF" w:rsidRPr="005C78A3" w:rsidRDefault="00B724EF" w:rsidP="00B724EF">
      <w:pPr>
        <w:spacing w:before="120" w:after="120"/>
        <w:jc w:val="both"/>
        <w:rPr>
          <w:rFonts w:ascii="Times New Roman" w:hAnsi="Times New Roman"/>
          <w:b/>
          <w:sz w:val="24"/>
          <w:szCs w:val="24"/>
        </w:rPr>
      </w:pPr>
      <w:r w:rsidRPr="005C78A3">
        <w:rPr>
          <w:rFonts w:ascii="Times New Roman" w:hAnsi="Times New Roman"/>
          <w:b/>
          <w:sz w:val="24"/>
          <w:szCs w:val="24"/>
        </w:rPr>
        <w:t>Таможенно-тарифная политика Евразийского экономического союза</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Значительное влияние на условия ведения внешнеэкономической деятельности оказывает вступление в силу с 1 января 2018 года Таможенного кодекса Евразийского экономического союза (далее - ТК ЕАЭС). Приоритет электронно</w:t>
      </w:r>
      <w:r w:rsidR="00B60752">
        <w:rPr>
          <w:rFonts w:ascii="Times New Roman" w:hAnsi="Times New Roman"/>
          <w:sz w:val="24"/>
          <w:szCs w:val="24"/>
        </w:rPr>
        <w:t>го</w:t>
      </w:r>
      <w:r w:rsidRPr="00B724EF">
        <w:rPr>
          <w:rFonts w:ascii="Times New Roman" w:hAnsi="Times New Roman"/>
          <w:sz w:val="24"/>
          <w:szCs w:val="24"/>
        </w:rPr>
        <w:t xml:space="preserve"> декларировани</w:t>
      </w:r>
      <w:r w:rsidR="00B60752">
        <w:rPr>
          <w:rFonts w:ascii="Times New Roman" w:hAnsi="Times New Roman"/>
          <w:sz w:val="24"/>
          <w:szCs w:val="24"/>
        </w:rPr>
        <w:t>я</w:t>
      </w:r>
      <w:r w:rsidRPr="00B724EF">
        <w:rPr>
          <w:rFonts w:ascii="Times New Roman" w:hAnsi="Times New Roman"/>
          <w:sz w:val="24"/>
          <w:szCs w:val="24"/>
        </w:rPr>
        <w:t xml:space="preserve"> товаров и взаимодействи</w:t>
      </w:r>
      <w:r w:rsidR="00B60752">
        <w:rPr>
          <w:rFonts w:ascii="Times New Roman" w:hAnsi="Times New Roman"/>
          <w:sz w:val="24"/>
          <w:szCs w:val="24"/>
        </w:rPr>
        <w:t>я</w:t>
      </w:r>
      <w:r w:rsidRPr="00B724EF">
        <w:rPr>
          <w:rFonts w:ascii="Times New Roman" w:hAnsi="Times New Roman"/>
          <w:sz w:val="24"/>
          <w:szCs w:val="24"/>
        </w:rPr>
        <w:t xml:space="preserve"> государственных органов с участниками внешнеэкономической деятельности, предусмотренный в ТК ЕАЭС, направлен на упрощение таможенных операций и ускорение их совершения, что в конечном итоге должно способствовать развитию внешнеэкономической деятельности.</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На текущем этапе функционирования ЕАЭС вопросы установления вывозных пошлин отнесены к компетенции национальных правительств. При этом в предстоящие годы планируется принять механизмы проведения согласованной экспортной таможенно-тарифной политики. Важным направлением таможенно-тарифной политики с учетом формирования Союза станет работа по расширению сотрудничества в области поставок нефти и нефтепродуктов. Одновременно в целях устойчивого развития экономик и повышения энергетической безопасности государств – членов Союза продолжится работа по формированию общих рынков нефти, нефтепродуктов и газа.</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Одними из основополагающих принципов формирования общих рынков среди прочих должны стать обеспечение рыночных механизмов ценообразования в отношении указанных товаров, а также неприменение во взаимной торговле нефтью и нефтепродуктами количественных ограничений и вывозных таможенных пошлин (иных пошлин, налогов и сборов, имеющих эквивалентное значение).</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В этих условиях основными подходами таможенно-тарифной политики в отношении импорта товаров в 2019 - 2021 годах являются:</w:t>
      </w:r>
    </w:p>
    <w:p w:rsidR="00B724EF" w:rsidRPr="00B724EF" w:rsidRDefault="00B724EF" w:rsidP="006A22F2">
      <w:pPr>
        <w:pStyle w:val="aa"/>
        <w:numPr>
          <w:ilvl w:val="0"/>
          <w:numId w:val="19"/>
        </w:numPr>
        <w:spacing w:before="120" w:after="120"/>
        <w:contextualSpacing w:val="0"/>
        <w:jc w:val="both"/>
        <w:rPr>
          <w:rFonts w:ascii="Times New Roman" w:hAnsi="Times New Roman"/>
          <w:sz w:val="24"/>
          <w:szCs w:val="24"/>
        </w:rPr>
      </w:pPr>
      <w:r w:rsidRPr="00B724EF">
        <w:rPr>
          <w:rFonts w:ascii="Times New Roman" w:hAnsi="Times New Roman"/>
          <w:sz w:val="24"/>
          <w:szCs w:val="24"/>
        </w:rPr>
        <w:lastRenderedPageBreak/>
        <w:t>унификация порядка налогообложения ввозимых товаров в государствах - членах ЕАЭС;</w:t>
      </w:r>
    </w:p>
    <w:p w:rsidR="00B724EF" w:rsidRPr="00B724EF" w:rsidRDefault="00B724EF" w:rsidP="006A22F2">
      <w:pPr>
        <w:pStyle w:val="aa"/>
        <w:numPr>
          <w:ilvl w:val="0"/>
          <w:numId w:val="19"/>
        </w:numPr>
        <w:spacing w:before="120" w:after="120"/>
        <w:contextualSpacing w:val="0"/>
        <w:jc w:val="both"/>
        <w:rPr>
          <w:rFonts w:ascii="Times New Roman" w:hAnsi="Times New Roman"/>
          <w:sz w:val="24"/>
          <w:szCs w:val="24"/>
        </w:rPr>
      </w:pPr>
      <w:r w:rsidRPr="00B724EF">
        <w:rPr>
          <w:rFonts w:ascii="Times New Roman" w:hAnsi="Times New Roman"/>
          <w:sz w:val="24"/>
          <w:szCs w:val="24"/>
        </w:rPr>
        <w:t>выработка единых условий применения льгот по уплате ввозных таможенных пошлин в рамках функционирования ЕАЭС, в том числе тарифных льгот при ввозе товаров в целях реализации инвестиционных проектов, соответствующих приоритетному сектору экономики государства - участника ЕАЭС;</w:t>
      </w:r>
    </w:p>
    <w:p w:rsidR="00B724EF" w:rsidRPr="00B724EF" w:rsidRDefault="00B724EF" w:rsidP="006A22F2">
      <w:pPr>
        <w:pStyle w:val="aa"/>
        <w:numPr>
          <w:ilvl w:val="0"/>
          <w:numId w:val="19"/>
        </w:numPr>
        <w:spacing w:before="120" w:after="120"/>
        <w:contextualSpacing w:val="0"/>
        <w:jc w:val="both"/>
        <w:rPr>
          <w:rFonts w:ascii="Times New Roman" w:hAnsi="Times New Roman"/>
          <w:sz w:val="24"/>
          <w:szCs w:val="24"/>
        </w:rPr>
      </w:pPr>
      <w:r w:rsidRPr="00B724EF">
        <w:rPr>
          <w:rFonts w:ascii="Times New Roman" w:hAnsi="Times New Roman"/>
          <w:sz w:val="24"/>
          <w:szCs w:val="24"/>
        </w:rPr>
        <w:t>установление унифицированного порядка совершения таможенных операций в отношении товаров, перемещаемых в рамках международной Интернет-торговли;</w:t>
      </w:r>
    </w:p>
    <w:p w:rsidR="00B724EF" w:rsidRPr="00B724EF" w:rsidRDefault="00B724EF" w:rsidP="006A22F2">
      <w:pPr>
        <w:pStyle w:val="aa"/>
        <w:numPr>
          <w:ilvl w:val="0"/>
          <w:numId w:val="19"/>
        </w:numPr>
        <w:spacing w:before="120" w:after="120"/>
        <w:contextualSpacing w:val="0"/>
        <w:jc w:val="both"/>
        <w:rPr>
          <w:rFonts w:ascii="Times New Roman" w:hAnsi="Times New Roman"/>
          <w:sz w:val="24"/>
          <w:szCs w:val="24"/>
        </w:rPr>
      </w:pPr>
      <w:r w:rsidRPr="00B724EF">
        <w:rPr>
          <w:rFonts w:ascii="Times New Roman" w:hAnsi="Times New Roman"/>
          <w:sz w:val="24"/>
          <w:szCs w:val="24"/>
        </w:rPr>
        <w:t>дальнейшее исполнение международных</w:t>
      </w:r>
      <w:r w:rsidRPr="00B724EF">
        <w:rPr>
          <w:rFonts w:ascii="Times New Roman" w:hAnsi="Times New Roman"/>
          <w:sz w:val="24"/>
          <w:szCs w:val="24"/>
        </w:rPr>
        <w:tab/>
      </w:r>
      <w:r w:rsidR="00B60752">
        <w:rPr>
          <w:rFonts w:ascii="Times New Roman" w:hAnsi="Times New Roman"/>
          <w:sz w:val="24"/>
          <w:szCs w:val="24"/>
        </w:rPr>
        <w:t xml:space="preserve"> </w:t>
      </w:r>
      <w:r w:rsidRPr="00B724EF">
        <w:rPr>
          <w:rFonts w:ascii="Times New Roman" w:hAnsi="Times New Roman"/>
          <w:sz w:val="24"/>
          <w:szCs w:val="24"/>
        </w:rPr>
        <w:t>обязательств Российской Федерации, в том числе по приведению действующих ставок Единого таможенного тарифа ЕАЭС в соответствие с принятыми обязательствами Российской Федерации в рамках ВТО.</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Развитие такой меры государственной поддержки, как предоставление из федерального бюджета субсидий на возмещение затрат, включая затраты на уплату ввозных таможенных пошлин с учетом ее влияния на формирование доходов федерального бюджета требует создания механизма оценки его эффективности. Данный механизм должен определить соотношение степени стимулирующего воздействия субсидий на развитие и инвестиционную привлекательность отраслей экономики с теми финансовыми потерями, которые несет федеральный бюджет.</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Приоритетами таможенно-тарифной политики в отношении экспорта товаров в 2019 - 2021 годах являются:</w:t>
      </w:r>
    </w:p>
    <w:p w:rsidR="00B724EF" w:rsidRPr="00B724EF" w:rsidRDefault="00B724EF" w:rsidP="006A22F2">
      <w:pPr>
        <w:pStyle w:val="aa"/>
        <w:numPr>
          <w:ilvl w:val="0"/>
          <w:numId w:val="20"/>
        </w:numPr>
        <w:spacing w:before="120" w:after="120"/>
        <w:contextualSpacing w:val="0"/>
        <w:jc w:val="both"/>
        <w:rPr>
          <w:rFonts w:ascii="Times New Roman" w:hAnsi="Times New Roman"/>
          <w:sz w:val="24"/>
          <w:szCs w:val="24"/>
        </w:rPr>
      </w:pPr>
      <w:r w:rsidRPr="00B724EF">
        <w:rPr>
          <w:rFonts w:ascii="Times New Roman" w:hAnsi="Times New Roman"/>
          <w:sz w:val="24"/>
          <w:szCs w:val="24"/>
        </w:rPr>
        <w:t xml:space="preserve">упрощение таможенного администрирования экспортных поставок за счет организации взаимодействия с участниками внешнеэкономической деятельности в электронном виде, сокращение времени проведения таможенных операций; </w:t>
      </w:r>
    </w:p>
    <w:p w:rsidR="00B724EF" w:rsidRPr="00B724EF" w:rsidRDefault="00B724EF" w:rsidP="006A22F2">
      <w:pPr>
        <w:pStyle w:val="aa"/>
        <w:numPr>
          <w:ilvl w:val="0"/>
          <w:numId w:val="20"/>
        </w:numPr>
        <w:spacing w:before="120" w:after="120"/>
        <w:contextualSpacing w:val="0"/>
        <w:jc w:val="both"/>
        <w:rPr>
          <w:rFonts w:ascii="Times New Roman" w:hAnsi="Times New Roman"/>
          <w:sz w:val="24"/>
          <w:szCs w:val="24"/>
        </w:rPr>
      </w:pPr>
      <w:r w:rsidRPr="00B724EF">
        <w:rPr>
          <w:rFonts w:ascii="Times New Roman" w:hAnsi="Times New Roman"/>
          <w:sz w:val="24"/>
          <w:szCs w:val="24"/>
        </w:rPr>
        <w:t>продолжение работы по принятию механизмов проведения согласованной экспортной таможенно-тарифной политики государств - членов ЕАЭС, включая унификацию подходов по установлению экспортных пошлин и введение единого механизма зачисления и распределения вывозных таможенных пошлин</w:t>
      </w:r>
      <w:r w:rsidR="00B60752">
        <w:rPr>
          <w:rFonts w:ascii="Times New Roman" w:hAnsi="Times New Roman"/>
          <w:sz w:val="24"/>
          <w:szCs w:val="24"/>
        </w:rPr>
        <w:t xml:space="preserve"> и введение единого механизма уплаты, зачисления и перечисления сумм вывозных таможенных пошлин при вывозе товаров в третьи страны с таможенной территории ЕАЭС</w:t>
      </w:r>
      <w:r w:rsidRPr="00B724EF">
        <w:rPr>
          <w:rFonts w:ascii="Times New Roman" w:hAnsi="Times New Roman"/>
          <w:sz w:val="24"/>
          <w:szCs w:val="24"/>
        </w:rPr>
        <w:t>;</w:t>
      </w:r>
    </w:p>
    <w:p w:rsidR="00B724EF" w:rsidRPr="00B724EF" w:rsidRDefault="00B724EF" w:rsidP="006A22F2">
      <w:pPr>
        <w:pStyle w:val="aa"/>
        <w:numPr>
          <w:ilvl w:val="0"/>
          <w:numId w:val="20"/>
        </w:numPr>
        <w:spacing w:before="120" w:after="120"/>
        <w:contextualSpacing w:val="0"/>
        <w:jc w:val="both"/>
        <w:rPr>
          <w:rFonts w:ascii="Times New Roman" w:hAnsi="Times New Roman"/>
          <w:sz w:val="24"/>
          <w:szCs w:val="24"/>
        </w:rPr>
      </w:pPr>
      <w:r w:rsidRPr="00B724EF">
        <w:rPr>
          <w:rFonts w:ascii="Times New Roman" w:hAnsi="Times New Roman"/>
          <w:sz w:val="24"/>
          <w:szCs w:val="24"/>
        </w:rPr>
        <w:t>снижение зависимости Российской Федерации от экспорта сырья на внешний рынок;</w:t>
      </w:r>
    </w:p>
    <w:p w:rsidR="00B724EF" w:rsidRPr="00B724EF" w:rsidRDefault="00B724EF" w:rsidP="006A22F2">
      <w:pPr>
        <w:pStyle w:val="aa"/>
        <w:numPr>
          <w:ilvl w:val="0"/>
          <w:numId w:val="20"/>
        </w:numPr>
        <w:spacing w:before="120" w:after="120"/>
        <w:contextualSpacing w:val="0"/>
        <w:jc w:val="both"/>
        <w:rPr>
          <w:rFonts w:ascii="Times New Roman" w:hAnsi="Times New Roman"/>
          <w:sz w:val="24"/>
          <w:szCs w:val="24"/>
        </w:rPr>
      </w:pPr>
      <w:r w:rsidRPr="00B724EF">
        <w:rPr>
          <w:rFonts w:ascii="Times New Roman" w:hAnsi="Times New Roman"/>
          <w:sz w:val="24"/>
          <w:szCs w:val="24"/>
        </w:rPr>
        <w:t>реализация механизма подтверждения уполномоченными федеральными органами исполнительной власти планируемых к добыче и вывозу из Российской Федерации, а также фактически произведенных объемов продукции (минерального сырья) в связи с исполнением соглашений о разделе продукции.</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В целях единообразия и правильности применения таможенно-</w:t>
      </w:r>
      <w:r w:rsidRPr="00B724EF">
        <w:rPr>
          <w:rFonts w:ascii="Times New Roman" w:hAnsi="Times New Roman"/>
          <w:sz w:val="24"/>
          <w:szCs w:val="24"/>
        </w:rPr>
        <w:softHyphen/>
        <w:t xml:space="preserve">тарифного регулирования в Российской Федерации требуется завершение работы по актуализации </w:t>
      </w:r>
      <w:r w:rsidRPr="00B724EF">
        <w:rPr>
          <w:rFonts w:ascii="Times New Roman" w:hAnsi="Times New Roman"/>
          <w:sz w:val="24"/>
          <w:szCs w:val="24"/>
        </w:rPr>
        <w:lastRenderedPageBreak/>
        <w:t>нормативных правовых актов Правительства Российской Федерации, устанавливающих перечень кодов видов продовольственных товаров и товаров для детей, облагаемых налогом на добавленную стоимость по налоговой ставке 10 процентов, а также утверждающих ставки вывозных таможенных пошлин на товары, вывозимые из Российской Федерации за пределы государств - участников соглашений о Таможенном союзе, в части кодов единой Товарной номенклатуры внешнеэкономической деятельности Евразийского экономического союза (далее - ТН ВЭД ЕАЭС) в связи с принятием новой редакции ТН ВЭД ЕАЭС на основе 6-го издания Гармонизированной системы описания и кодирования товаров</w:t>
      </w:r>
    </w:p>
    <w:p w:rsidR="00B724EF" w:rsidRPr="005C78A3" w:rsidRDefault="00B724EF" w:rsidP="00B724EF">
      <w:pPr>
        <w:spacing w:before="120" w:after="120"/>
        <w:jc w:val="both"/>
        <w:rPr>
          <w:rFonts w:ascii="Times New Roman" w:hAnsi="Times New Roman"/>
          <w:b/>
          <w:sz w:val="24"/>
          <w:szCs w:val="24"/>
        </w:rPr>
      </w:pPr>
      <w:r w:rsidRPr="005C78A3">
        <w:rPr>
          <w:rFonts w:ascii="Times New Roman" w:hAnsi="Times New Roman"/>
          <w:b/>
          <w:sz w:val="24"/>
          <w:szCs w:val="24"/>
        </w:rPr>
        <w:t>Таможенно-тарифное регулирование экспорта топливно-энергетического комплекса (ТЭК)</w:t>
      </w:r>
    </w:p>
    <w:p w:rsidR="00B724EF" w:rsidRPr="00B724EF" w:rsidRDefault="00B724EF" w:rsidP="005C78A3">
      <w:pPr>
        <w:spacing w:before="120" w:after="120"/>
        <w:jc w:val="both"/>
        <w:rPr>
          <w:rFonts w:ascii="Times New Roman" w:hAnsi="Times New Roman"/>
          <w:sz w:val="24"/>
          <w:szCs w:val="24"/>
        </w:rPr>
      </w:pPr>
      <w:r w:rsidRPr="00B724EF">
        <w:rPr>
          <w:rFonts w:ascii="Times New Roman" w:hAnsi="Times New Roman"/>
          <w:sz w:val="24"/>
          <w:szCs w:val="24"/>
        </w:rPr>
        <w:t>В у</w:t>
      </w:r>
      <w:r w:rsidR="007E0D6E">
        <w:rPr>
          <w:rFonts w:ascii="Times New Roman" w:hAnsi="Times New Roman"/>
          <w:sz w:val="24"/>
          <w:szCs w:val="24"/>
        </w:rPr>
        <w:t xml:space="preserve">словиях продолжения реализации </w:t>
      </w:r>
      <w:r w:rsidRPr="00B724EF">
        <w:rPr>
          <w:rFonts w:ascii="Times New Roman" w:hAnsi="Times New Roman"/>
          <w:sz w:val="24"/>
          <w:szCs w:val="24"/>
        </w:rPr>
        <w:t>налогового маневра к основным вопросам дальнейшего развития таможенно-тарифной политики ТЭК относятся направление и темпы изменения вывозных таможенных пошлин на нефть и товары, выработанные из нефти, величина дифференциала между вывозными таможенными пошлинами на нефть и товары, выработанные из нефти, а также величина дифференциала между вывозными таможенными пошлинами на отдельные вида нефтепродуктов.</w:t>
      </w:r>
    </w:p>
    <w:p w:rsidR="00B724EF" w:rsidRPr="00B724EF" w:rsidRDefault="00B724EF" w:rsidP="005C78A3">
      <w:pPr>
        <w:spacing w:before="120" w:after="120"/>
        <w:jc w:val="both"/>
        <w:rPr>
          <w:rFonts w:ascii="Times New Roman" w:hAnsi="Times New Roman"/>
          <w:sz w:val="24"/>
          <w:szCs w:val="24"/>
        </w:rPr>
      </w:pPr>
      <w:r w:rsidRPr="00B724EF">
        <w:rPr>
          <w:rFonts w:ascii="Times New Roman" w:hAnsi="Times New Roman"/>
          <w:sz w:val="24"/>
          <w:szCs w:val="24"/>
        </w:rPr>
        <w:t>Для оптимизации механизма организации беспошлинных поставок российских углеводородов, вывозимых в соответствии с утвержденными индикативными балансами (протоколами) в рамках межправительственных соглашений Российской Федерации, необходимо определить и законодательно закрепить порядок распределения указанных товаров между организациями-экспортерами.</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Следует рассмотреть возможность неприменения временного периодического таможенного декларирования в отношении энергоносителей, вывозимых с таможенной территории ЕАЭС в рамках утвержденных индикативных балансов (протоколов) в соответствии с межправительственными соглашениями Российской Федерации.</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При этом в случае сохранения временного периодического таможенного декларирования в отношении указанных товаров может быть рассмотрен подход по предоставлению льготы по уплате вывозных таможенных пошлин (освобождение) в рамках межправительственных соглашений Российской Федерации после фактического вывоза энергоносителей при предоставлении полной декларации на товары.</w:t>
      </w:r>
    </w:p>
    <w:p w:rsidR="00B724EF" w:rsidRPr="00B724EF" w:rsidRDefault="00B724EF" w:rsidP="00B724EF">
      <w:pPr>
        <w:spacing w:before="120" w:after="120"/>
        <w:jc w:val="both"/>
        <w:rPr>
          <w:rFonts w:ascii="Times New Roman" w:hAnsi="Times New Roman"/>
          <w:sz w:val="24"/>
          <w:szCs w:val="24"/>
        </w:rPr>
      </w:pPr>
      <w:r w:rsidRPr="00B724EF">
        <w:rPr>
          <w:rFonts w:ascii="Times New Roman" w:hAnsi="Times New Roman"/>
          <w:sz w:val="24"/>
          <w:szCs w:val="24"/>
        </w:rPr>
        <w:t>Альтернативным механизмом может быть предоставление обеспечения исполнения обязанности по вывозу беспошлинных объемов углеводородов путем внесения денежного залога и/или предоставления банковской гарантии на сумму, эквивалентную сумме вывозных таможенных пошлин, которые подлежали бы уплате при вывозе энергоносителей с таможенной территории ЕАЭС без учета предоставления льгот (освобождений).</w:t>
      </w:r>
    </w:p>
    <w:p w:rsidR="00B724EF" w:rsidRPr="00B724EF" w:rsidRDefault="00B724EF" w:rsidP="005C78A3">
      <w:pPr>
        <w:spacing w:before="120" w:after="120"/>
        <w:jc w:val="both"/>
        <w:rPr>
          <w:rFonts w:ascii="Times New Roman" w:hAnsi="Times New Roman"/>
          <w:sz w:val="24"/>
          <w:szCs w:val="24"/>
        </w:rPr>
      </w:pPr>
      <w:r w:rsidRPr="00B724EF">
        <w:rPr>
          <w:rFonts w:ascii="Times New Roman" w:hAnsi="Times New Roman"/>
          <w:sz w:val="24"/>
          <w:szCs w:val="24"/>
        </w:rPr>
        <w:t>В целях защиты взаимных интересов государств - членов ЕАЭС в рамках формирования общих рынков нефти и нефтепродуктов целесообразно рассмотрение вопроса о выравнивании ставок вывозных таможенных пошлин в отношении нефти и нефтепродуктов в государствах – членах ЕАЭС.</w:t>
      </w:r>
    </w:p>
    <w:p w:rsidR="00FF4120" w:rsidRPr="00A36D53" w:rsidRDefault="00FF4120" w:rsidP="00FF4120">
      <w:pPr>
        <w:pStyle w:val="ConsPlusTitle"/>
        <w:widowControl/>
        <w:tabs>
          <w:tab w:val="left" w:pos="540"/>
        </w:tabs>
        <w:spacing w:after="200" w:line="276" w:lineRule="auto"/>
        <w:jc w:val="both"/>
        <w:rPr>
          <w:b w:val="0"/>
          <w:szCs w:val="28"/>
        </w:rPr>
      </w:pPr>
    </w:p>
    <w:p w:rsidR="005D0607" w:rsidRPr="00204AC9" w:rsidRDefault="005D0607">
      <w:pPr>
        <w:spacing w:after="0" w:line="240" w:lineRule="auto"/>
        <w:rPr>
          <w:rFonts w:ascii="Times New Roman" w:hAnsi="Times New Roman"/>
          <w:b/>
          <w:sz w:val="24"/>
          <w:szCs w:val="24"/>
          <w:highlight w:val="green"/>
        </w:rPr>
      </w:pPr>
      <w:r>
        <w:rPr>
          <w:rFonts w:ascii="Times New Roman" w:hAnsi="Times New Roman"/>
          <w:sz w:val="24"/>
          <w:szCs w:val="24"/>
        </w:rPr>
        <w:br w:type="page"/>
      </w:r>
    </w:p>
    <w:p w:rsidR="004E2069" w:rsidRDefault="004E2069" w:rsidP="00E60144">
      <w:pPr>
        <w:pStyle w:val="10"/>
        <w:numPr>
          <w:ilvl w:val="0"/>
          <w:numId w:val="3"/>
        </w:numPr>
        <w:spacing w:after="240"/>
        <w:ind w:right="-284"/>
        <w:rPr>
          <w:szCs w:val="32"/>
        </w:rPr>
      </w:pPr>
      <w:bookmarkStart w:id="24" w:name="_Toc518648658"/>
      <w:r w:rsidRPr="002425FB">
        <w:rPr>
          <w:szCs w:val="32"/>
        </w:rPr>
        <w:lastRenderedPageBreak/>
        <w:t>ОСНОВНЫЕ ПАРАМЕТРЫ БЮДЖЕТНОЙ СИСТЕМЫ</w:t>
      </w:r>
      <w:bookmarkEnd w:id="24"/>
    </w:p>
    <w:p w:rsidR="00133BC5" w:rsidRPr="00920E8A" w:rsidRDefault="00133BC5" w:rsidP="00133BC5">
      <w:pPr>
        <w:pStyle w:val="23"/>
        <w:spacing w:before="0" w:line="276" w:lineRule="auto"/>
      </w:pPr>
      <w:r w:rsidRPr="00EE7B0F">
        <w:t xml:space="preserve">Особенностью проекта федерального бюджета на 2019 год и плановый период 2020 и 2021 годов является то, что его формирование осуществляется по обновленным правилам, предусматривающим ряд новаций: обособление планирования бюджетных ассигнований на исполнение </w:t>
      </w:r>
      <w:r w:rsidRPr="00EE7B0F">
        <w:rPr>
          <w:b/>
        </w:rPr>
        <w:t>действующих</w:t>
      </w:r>
      <w:r w:rsidRPr="00EE7B0F">
        <w:t xml:space="preserve"> (базовые бюджетные ассигнования) и </w:t>
      </w:r>
      <w:r w:rsidRPr="00EE7B0F">
        <w:rPr>
          <w:b/>
        </w:rPr>
        <w:t>принимаемых</w:t>
      </w:r>
      <w:r w:rsidRPr="00EE7B0F">
        <w:t xml:space="preserve"> (дополнительные бюджетные ассигнования) расходных обязательств, расчет базовых бюджетных ассигнований по единой методике, определение порядка рассмотрения предложений по выделению дополнительных бюджетных ассигнований, поэтапное формирование предельных объемов бюджетных ассигнований, участие Правительственной комиссии по вопросам оптимизации и повышения эффективности бюджетных расходов и заместителей Председателя Правительства Российской Федерации в рассмотрении распределения бюджетных ассигнований.</w:t>
      </w:r>
    </w:p>
    <w:p w:rsidR="00133BC5" w:rsidRPr="00920E8A" w:rsidRDefault="00133BC5" w:rsidP="00133BC5">
      <w:pPr>
        <w:pStyle w:val="13"/>
        <w:numPr>
          <w:ilvl w:val="1"/>
          <w:numId w:val="3"/>
        </w:numPr>
        <w:rPr>
          <w:color w:val="auto"/>
        </w:rPr>
      </w:pPr>
      <w:bookmarkStart w:id="25" w:name="_Toc517461471"/>
      <w:bookmarkStart w:id="26" w:name="_Toc518162625"/>
      <w:bookmarkStart w:id="27" w:name="_Toc518648659"/>
      <w:r w:rsidRPr="00920E8A">
        <w:rPr>
          <w:color w:val="auto"/>
        </w:rPr>
        <w:t>ФЕДЕРАЛЬНЫЙ БЮДЖЕТ (ОСНОВНЫЕ ХАРАКТЕРИСТИКИ, ДОХОДЫ, РАСХОДЫ, ИСТОЧНИКИ ФИНАНСИРОВАНИЯ И ГОСУДАРСТВЕННЫЙ ДОЛГ)</w:t>
      </w:r>
      <w:bookmarkEnd w:id="25"/>
      <w:bookmarkEnd w:id="26"/>
      <w:bookmarkEnd w:id="27"/>
    </w:p>
    <w:p w:rsidR="00133BC5" w:rsidRPr="00133BC5" w:rsidRDefault="00133BC5" w:rsidP="00133BC5">
      <w:pPr>
        <w:spacing w:after="120"/>
        <w:jc w:val="both"/>
        <w:rPr>
          <w:rFonts w:ascii="Times New Roman" w:hAnsi="Times New Roman"/>
          <w:sz w:val="24"/>
        </w:rPr>
      </w:pPr>
      <w:r w:rsidRPr="00133BC5">
        <w:rPr>
          <w:rFonts w:ascii="Times New Roman" w:hAnsi="Times New Roman"/>
          <w:sz w:val="24"/>
        </w:rPr>
        <w:t xml:space="preserve">Основные характеристики федерального бюджета на 2019-2021 гг. сформированы с учетом применения основных </w:t>
      </w:r>
      <w:r w:rsidRPr="00133BC5">
        <w:rPr>
          <w:rFonts w:ascii="Times New Roman" w:hAnsi="Times New Roman"/>
          <w:b/>
          <w:sz w:val="24"/>
        </w:rPr>
        <w:t>положений бюджетных правил</w:t>
      </w:r>
      <w:r w:rsidRPr="00133BC5">
        <w:rPr>
          <w:rFonts w:ascii="Times New Roman" w:hAnsi="Times New Roman"/>
          <w:sz w:val="24"/>
        </w:rPr>
        <w:t>.</w:t>
      </w:r>
    </w:p>
    <w:p w:rsidR="00133BC5" w:rsidRPr="00133BC5" w:rsidRDefault="00133BC5" w:rsidP="00133BC5">
      <w:pPr>
        <w:spacing w:after="120"/>
        <w:jc w:val="both"/>
        <w:rPr>
          <w:rFonts w:ascii="Times New Roman" w:hAnsi="Times New Roman"/>
          <w:sz w:val="24"/>
        </w:rPr>
      </w:pPr>
      <w:r w:rsidRPr="00133BC5">
        <w:rPr>
          <w:rFonts w:ascii="Times New Roman" w:hAnsi="Times New Roman"/>
          <w:sz w:val="24"/>
        </w:rPr>
        <w:t>Определение предельного объема расходов федерального бюджета производится исходя из базовых цен на нефть, в связи с чем дополнительные нефтегазовые доходы будут направлены на формирования Фонда национального благосостояния.</w:t>
      </w:r>
    </w:p>
    <w:p w:rsidR="00133BC5" w:rsidRPr="00133BC5" w:rsidRDefault="00133BC5" w:rsidP="00133BC5">
      <w:pPr>
        <w:spacing w:after="120"/>
        <w:jc w:val="both"/>
        <w:rPr>
          <w:rFonts w:ascii="Times New Roman" w:hAnsi="Times New Roman"/>
          <w:sz w:val="24"/>
        </w:rPr>
      </w:pPr>
      <w:r w:rsidRPr="00133BC5">
        <w:rPr>
          <w:rFonts w:ascii="Times New Roman" w:hAnsi="Times New Roman"/>
          <w:sz w:val="24"/>
        </w:rPr>
        <w:t>С 2019 года предполагается создание Фонда развития, финансирование которого будет осуществляться за счет внутренних заимствований. Это приведет к структурному дефициту бюджета на первичном уровне в объеме ~0,5% ВВП ежегодно.</w:t>
      </w:r>
    </w:p>
    <w:p w:rsidR="00133BC5" w:rsidRPr="00133BC5" w:rsidRDefault="00133BC5" w:rsidP="00133BC5">
      <w:pPr>
        <w:spacing w:after="120"/>
        <w:jc w:val="both"/>
        <w:rPr>
          <w:rFonts w:ascii="Times New Roman" w:hAnsi="Times New Roman"/>
          <w:sz w:val="24"/>
        </w:rPr>
      </w:pPr>
      <w:r w:rsidRPr="00133BC5">
        <w:rPr>
          <w:rFonts w:ascii="Times New Roman" w:hAnsi="Times New Roman"/>
          <w:sz w:val="24"/>
        </w:rPr>
        <w:t>Последовательная реализация политики макроэкономической стабилизации (бюджетные правила) в совокупности с созданием новых инструментов развития (Фонд развития) с одной стороны обеспечит постепенное сокращение ненефтегазового дефицита до 6,0% ВВП, а с другой - не будет угрожать устойчивости государственных финансов и доступности кредитных ресурсов для частного сектора.</w:t>
      </w:r>
    </w:p>
    <w:p w:rsidR="00133BC5" w:rsidRPr="00133BC5" w:rsidRDefault="00133BC5" w:rsidP="00133BC5">
      <w:pPr>
        <w:spacing w:after="120"/>
        <w:rPr>
          <w:rFonts w:ascii="Times New Roman" w:hAnsi="Times New Roman"/>
          <w:sz w:val="24"/>
          <w:szCs w:val="24"/>
        </w:rPr>
      </w:pPr>
      <w:r w:rsidRPr="00133BC5">
        <w:rPr>
          <w:rFonts w:ascii="Times New Roman" w:hAnsi="Times New Roman"/>
          <w:b/>
          <w:sz w:val="24"/>
          <w:szCs w:val="24"/>
        </w:rPr>
        <w:t>Таблица 4.1.1.</w:t>
      </w:r>
      <w:r w:rsidRPr="00133BC5">
        <w:rPr>
          <w:rFonts w:ascii="Times New Roman" w:hAnsi="Times New Roman"/>
          <w:sz w:val="24"/>
          <w:szCs w:val="24"/>
        </w:rPr>
        <w:t xml:space="preserve"> Основные характеристики федерального бюджета в 2018-2021 гг.</w:t>
      </w:r>
    </w:p>
    <w:p w:rsidR="00133BC5" w:rsidRPr="00133BC5" w:rsidRDefault="00133BC5" w:rsidP="00133BC5">
      <w:pPr>
        <w:jc w:val="right"/>
        <w:rPr>
          <w:rFonts w:ascii="Times New Roman" w:hAnsi="Times New Roman"/>
          <w:i/>
        </w:rPr>
      </w:pPr>
      <w:r w:rsidRPr="00133BC5">
        <w:rPr>
          <w:rFonts w:ascii="Times New Roman" w:hAnsi="Times New Roman"/>
          <w:i/>
        </w:rPr>
        <w:t>млрд рублей</w:t>
      </w:r>
    </w:p>
    <w:tbl>
      <w:tblPr>
        <w:tblW w:w="9291" w:type="dxa"/>
        <w:tblLayout w:type="fixed"/>
        <w:tblLook w:val="00A0" w:firstRow="1" w:lastRow="0" w:firstColumn="1" w:lastColumn="0" w:noHBand="0" w:noVBand="0"/>
      </w:tblPr>
      <w:tblGrid>
        <w:gridCol w:w="5211"/>
        <w:gridCol w:w="1020"/>
        <w:gridCol w:w="1020"/>
        <w:gridCol w:w="1020"/>
        <w:gridCol w:w="1020"/>
      </w:tblGrid>
      <w:tr w:rsidR="00133BC5" w:rsidRPr="00920E8A" w:rsidTr="00133BC5">
        <w:trPr>
          <w:trHeight w:val="340"/>
        </w:trPr>
        <w:tc>
          <w:tcPr>
            <w:tcW w:w="5211" w:type="dxa"/>
            <w:tcBorders>
              <w:bottom w:val="single" w:sz="4" w:space="0" w:color="auto"/>
            </w:tcBorders>
          </w:tcPr>
          <w:p w:rsidR="00133BC5" w:rsidRPr="00920E8A" w:rsidRDefault="00133BC5" w:rsidP="00133BC5">
            <w:pPr>
              <w:contextualSpacing/>
              <w:rPr>
                <w:rFonts w:ascii="Century" w:hAnsi="Century"/>
                <w:b/>
                <w:bCs/>
              </w:rPr>
            </w:pPr>
            <w:r w:rsidRPr="00920E8A">
              <w:rPr>
                <w:rFonts w:ascii="Century" w:hAnsi="Century"/>
                <w:b/>
                <w:bCs/>
              </w:rPr>
              <w:t>Показатель</w:t>
            </w:r>
          </w:p>
        </w:tc>
        <w:tc>
          <w:tcPr>
            <w:tcW w:w="1020" w:type="dxa"/>
            <w:tcBorders>
              <w:bottom w:val="single" w:sz="4" w:space="0" w:color="auto"/>
            </w:tcBorders>
          </w:tcPr>
          <w:p w:rsidR="00133BC5" w:rsidRPr="00920E8A" w:rsidRDefault="00133BC5" w:rsidP="00133BC5">
            <w:pPr>
              <w:contextualSpacing/>
              <w:jc w:val="center"/>
              <w:rPr>
                <w:rFonts w:ascii="Century" w:hAnsi="Century"/>
                <w:b/>
                <w:bCs/>
              </w:rPr>
            </w:pPr>
            <w:r w:rsidRPr="00920E8A">
              <w:rPr>
                <w:rFonts w:ascii="Century" w:hAnsi="Century"/>
                <w:b/>
                <w:bCs/>
              </w:rPr>
              <w:t>2018</w:t>
            </w:r>
          </w:p>
        </w:tc>
        <w:tc>
          <w:tcPr>
            <w:tcW w:w="1020" w:type="dxa"/>
            <w:tcBorders>
              <w:bottom w:val="single" w:sz="4" w:space="0" w:color="auto"/>
            </w:tcBorders>
          </w:tcPr>
          <w:p w:rsidR="00133BC5" w:rsidRPr="00920E8A" w:rsidRDefault="00133BC5" w:rsidP="00133BC5">
            <w:pPr>
              <w:contextualSpacing/>
              <w:jc w:val="center"/>
              <w:rPr>
                <w:rFonts w:ascii="Century" w:hAnsi="Century"/>
                <w:b/>
                <w:bCs/>
              </w:rPr>
            </w:pPr>
            <w:r w:rsidRPr="00920E8A">
              <w:rPr>
                <w:rFonts w:ascii="Century" w:hAnsi="Century"/>
                <w:b/>
                <w:bCs/>
              </w:rPr>
              <w:t>2019</w:t>
            </w:r>
          </w:p>
        </w:tc>
        <w:tc>
          <w:tcPr>
            <w:tcW w:w="1020" w:type="dxa"/>
            <w:tcBorders>
              <w:bottom w:val="single" w:sz="4" w:space="0" w:color="auto"/>
            </w:tcBorders>
          </w:tcPr>
          <w:p w:rsidR="00133BC5" w:rsidRPr="00920E8A" w:rsidRDefault="00133BC5" w:rsidP="00133BC5">
            <w:pPr>
              <w:contextualSpacing/>
              <w:jc w:val="center"/>
              <w:rPr>
                <w:rFonts w:ascii="Century" w:hAnsi="Century"/>
                <w:b/>
                <w:bCs/>
              </w:rPr>
            </w:pPr>
            <w:r w:rsidRPr="00920E8A">
              <w:rPr>
                <w:rFonts w:ascii="Century" w:hAnsi="Century"/>
                <w:b/>
                <w:bCs/>
              </w:rPr>
              <w:t>2020</w:t>
            </w:r>
          </w:p>
        </w:tc>
        <w:tc>
          <w:tcPr>
            <w:tcW w:w="1020" w:type="dxa"/>
            <w:tcBorders>
              <w:bottom w:val="single" w:sz="4" w:space="0" w:color="auto"/>
            </w:tcBorders>
          </w:tcPr>
          <w:p w:rsidR="00133BC5" w:rsidRPr="00920E8A" w:rsidRDefault="00133BC5" w:rsidP="00133BC5">
            <w:pPr>
              <w:contextualSpacing/>
              <w:jc w:val="center"/>
              <w:rPr>
                <w:rFonts w:ascii="Century" w:hAnsi="Century"/>
                <w:b/>
                <w:bCs/>
              </w:rPr>
            </w:pPr>
            <w:r w:rsidRPr="00920E8A">
              <w:rPr>
                <w:rFonts w:ascii="Century" w:hAnsi="Century"/>
                <w:b/>
                <w:bCs/>
              </w:rPr>
              <w:t>2021</w:t>
            </w:r>
          </w:p>
        </w:tc>
      </w:tr>
      <w:tr w:rsidR="00133BC5" w:rsidRPr="00920E8A" w:rsidTr="00133BC5">
        <w:trPr>
          <w:trHeight w:val="340"/>
        </w:trPr>
        <w:tc>
          <w:tcPr>
            <w:tcW w:w="5211" w:type="dxa"/>
            <w:tcBorders>
              <w:top w:val="single" w:sz="4" w:space="0" w:color="auto"/>
            </w:tcBorders>
            <w:shd w:val="clear" w:color="auto" w:fill="F2F2F2"/>
            <w:vAlign w:val="center"/>
          </w:tcPr>
          <w:p w:rsidR="00133BC5" w:rsidRPr="00920E8A" w:rsidRDefault="00133BC5" w:rsidP="00133BC5">
            <w:pPr>
              <w:spacing w:after="0"/>
              <w:contextualSpacing/>
              <w:rPr>
                <w:rFonts w:ascii="Century" w:hAnsi="Century"/>
                <w:b/>
                <w:bCs/>
                <w:sz w:val="20"/>
                <w:szCs w:val="20"/>
                <w:lang w:eastAsia="ru-RU"/>
              </w:rPr>
            </w:pPr>
            <w:r w:rsidRPr="00920E8A">
              <w:rPr>
                <w:rFonts w:ascii="Century" w:hAnsi="Century"/>
                <w:b/>
                <w:bCs/>
                <w:sz w:val="20"/>
                <w:szCs w:val="20"/>
                <w:lang w:eastAsia="ru-RU"/>
              </w:rPr>
              <w:t>ДОХОДЫ</w:t>
            </w:r>
          </w:p>
        </w:tc>
        <w:tc>
          <w:tcPr>
            <w:tcW w:w="1020" w:type="dxa"/>
            <w:tcBorders>
              <w:top w:val="single" w:sz="4" w:space="0" w:color="auto"/>
            </w:tcBorders>
            <w:shd w:val="clear" w:color="auto" w:fill="F2F2F2"/>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17 073</w:t>
            </w:r>
          </w:p>
        </w:tc>
        <w:tc>
          <w:tcPr>
            <w:tcW w:w="1020" w:type="dxa"/>
            <w:tcBorders>
              <w:top w:val="single" w:sz="4" w:space="0" w:color="auto"/>
            </w:tcBorders>
            <w:shd w:val="clear" w:color="auto" w:fill="F2F2F2"/>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19 851</w:t>
            </w:r>
          </w:p>
        </w:tc>
        <w:tc>
          <w:tcPr>
            <w:tcW w:w="1020" w:type="dxa"/>
            <w:tcBorders>
              <w:top w:val="single" w:sz="4" w:space="0" w:color="auto"/>
            </w:tcBorders>
            <w:shd w:val="clear" w:color="auto" w:fill="F2F2F2"/>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20 026</w:t>
            </w:r>
          </w:p>
        </w:tc>
        <w:tc>
          <w:tcPr>
            <w:tcW w:w="1020" w:type="dxa"/>
            <w:tcBorders>
              <w:top w:val="single" w:sz="4" w:space="0" w:color="auto"/>
            </w:tcBorders>
            <w:shd w:val="clear" w:color="auto" w:fill="F2F2F2"/>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20 549</w:t>
            </w:r>
          </w:p>
        </w:tc>
      </w:tr>
      <w:tr w:rsidR="00133BC5" w:rsidRPr="00920E8A" w:rsidTr="00133BC5">
        <w:trPr>
          <w:trHeight w:val="340"/>
        </w:trPr>
        <w:tc>
          <w:tcPr>
            <w:tcW w:w="5211" w:type="dxa"/>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i/>
                <w:iCs/>
                <w:sz w:val="20"/>
                <w:szCs w:val="20"/>
                <w:lang w:eastAsia="ru-RU"/>
              </w:rPr>
              <w:t>%% ВВП</w:t>
            </w:r>
          </w:p>
        </w:tc>
        <w:tc>
          <w:tcPr>
            <w:tcW w:w="1020" w:type="dxa"/>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17,0</w:t>
            </w:r>
          </w:p>
        </w:tc>
        <w:tc>
          <w:tcPr>
            <w:tcW w:w="1020" w:type="dxa"/>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18,7</w:t>
            </w:r>
          </w:p>
        </w:tc>
        <w:tc>
          <w:tcPr>
            <w:tcW w:w="1020" w:type="dxa"/>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18,0</w:t>
            </w:r>
          </w:p>
        </w:tc>
        <w:tc>
          <w:tcPr>
            <w:tcW w:w="1020" w:type="dxa"/>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17,2</w:t>
            </w:r>
          </w:p>
        </w:tc>
      </w:tr>
      <w:tr w:rsidR="00133BC5" w:rsidRPr="00920E8A" w:rsidTr="00133BC5">
        <w:trPr>
          <w:trHeight w:val="340"/>
        </w:trPr>
        <w:tc>
          <w:tcPr>
            <w:tcW w:w="5211" w:type="dxa"/>
            <w:shd w:val="clear" w:color="auto" w:fill="F2F2F2"/>
            <w:vAlign w:val="center"/>
          </w:tcPr>
          <w:p w:rsidR="00133BC5" w:rsidRPr="00920E8A" w:rsidRDefault="00133BC5" w:rsidP="00133BC5">
            <w:pPr>
              <w:spacing w:after="0"/>
              <w:contextualSpacing/>
              <w:rPr>
                <w:rFonts w:ascii="Century" w:hAnsi="Century"/>
                <w:b/>
                <w:bCs/>
                <w:sz w:val="20"/>
                <w:szCs w:val="20"/>
                <w:lang w:eastAsia="ru-RU"/>
              </w:rPr>
            </w:pPr>
            <w:r w:rsidRPr="00920E8A">
              <w:rPr>
                <w:rFonts w:ascii="Century" w:hAnsi="Century"/>
                <w:bCs/>
                <w:sz w:val="20"/>
                <w:szCs w:val="20"/>
                <w:lang w:eastAsia="ru-RU"/>
              </w:rPr>
              <w:t xml:space="preserve">     </w:t>
            </w:r>
            <w:r w:rsidRPr="008D5340">
              <w:rPr>
                <w:rFonts w:ascii="Century" w:hAnsi="Century"/>
                <w:bCs/>
                <w:sz w:val="20"/>
                <w:szCs w:val="20"/>
                <w:lang w:eastAsia="ru-RU"/>
              </w:rPr>
              <w:t>Нефтегазовые доходы</w:t>
            </w:r>
          </w:p>
        </w:tc>
        <w:tc>
          <w:tcPr>
            <w:tcW w:w="1020" w:type="dxa"/>
            <w:shd w:val="clear" w:color="auto" w:fill="F2F2F2"/>
            <w:vAlign w:val="center"/>
          </w:tcPr>
          <w:p w:rsidR="00133BC5" w:rsidRDefault="00133BC5" w:rsidP="00133BC5">
            <w:pPr>
              <w:contextualSpacing/>
              <w:jc w:val="right"/>
              <w:rPr>
                <w:rFonts w:ascii="Century" w:hAnsi="Century"/>
                <w:sz w:val="20"/>
                <w:szCs w:val="20"/>
              </w:rPr>
            </w:pPr>
            <w:r>
              <w:rPr>
                <w:rFonts w:ascii="Century" w:hAnsi="Century"/>
                <w:sz w:val="20"/>
                <w:szCs w:val="20"/>
              </w:rPr>
              <w:t>7 234,9</w:t>
            </w:r>
          </w:p>
        </w:tc>
        <w:tc>
          <w:tcPr>
            <w:tcW w:w="1020" w:type="dxa"/>
            <w:shd w:val="clear" w:color="auto" w:fill="F2F2F2"/>
            <w:vAlign w:val="center"/>
          </w:tcPr>
          <w:p w:rsidR="00133BC5" w:rsidRDefault="00133BC5" w:rsidP="00133BC5">
            <w:pPr>
              <w:contextualSpacing/>
              <w:jc w:val="right"/>
              <w:rPr>
                <w:rFonts w:ascii="Century" w:hAnsi="Century"/>
                <w:sz w:val="20"/>
                <w:szCs w:val="20"/>
              </w:rPr>
            </w:pPr>
            <w:r>
              <w:rPr>
                <w:rFonts w:ascii="Century" w:hAnsi="Century"/>
                <w:sz w:val="20"/>
                <w:szCs w:val="20"/>
              </w:rPr>
              <w:t>8 324,8</w:t>
            </w:r>
          </w:p>
        </w:tc>
        <w:tc>
          <w:tcPr>
            <w:tcW w:w="1020" w:type="dxa"/>
            <w:shd w:val="clear" w:color="auto" w:fill="F2F2F2"/>
            <w:vAlign w:val="center"/>
          </w:tcPr>
          <w:p w:rsidR="00133BC5" w:rsidRDefault="00133BC5" w:rsidP="00133BC5">
            <w:pPr>
              <w:contextualSpacing/>
              <w:jc w:val="right"/>
              <w:rPr>
                <w:rFonts w:ascii="Century" w:hAnsi="Century"/>
                <w:sz w:val="20"/>
                <w:szCs w:val="20"/>
              </w:rPr>
            </w:pPr>
            <w:r>
              <w:rPr>
                <w:rFonts w:ascii="Century" w:hAnsi="Century"/>
                <w:sz w:val="20"/>
                <w:szCs w:val="20"/>
              </w:rPr>
              <w:t>7 911,2</w:t>
            </w:r>
          </w:p>
        </w:tc>
        <w:tc>
          <w:tcPr>
            <w:tcW w:w="1020" w:type="dxa"/>
            <w:shd w:val="clear" w:color="auto" w:fill="F2F2F2"/>
            <w:vAlign w:val="center"/>
          </w:tcPr>
          <w:p w:rsidR="00133BC5" w:rsidRDefault="00133BC5" w:rsidP="00133BC5">
            <w:pPr>
              <w:contextualSpacing/>
              <w:jc w:val="right"/>
              <w:rPr>
                <w:rFonts w:ascii="Century" w:hAnsi="Century"/>
                <w:sz w:val="20"/>
                <w:szCs w:val="20"/>
              </w:rPr>
            </w:pPr>
            <w:r>
              <w:rPr>
                <w:rFonts w:ascii="Century" w:hAnsi="Century"/>
                <w:sz w:val="20"/>
                <w:szCs w:val="20"/>
              </w:rPr>
              <w:t>7 769,2</w:t>
            </w:r>
          </w:p>
        </w:tc>
      </w:tr>
      <w:tr w:rsidR="00133BC5" w:rsidRPr="00920E8A" w:rsidTr="00133BC5">
        <w:trPr>
          <w:trHeight w:val="340"/>
        </w:trPr>
        <w:tc>
          <w:tcPr>
            <w:tcW w:w="5211" w:type="dxa"/>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i/>
                <w:iCs/>
                <w:sz w:val="20"/>
                <w:szCs w:val="20"/>
                <w:lang w:eastAsia="ru-RU"/>
              </w:rPr>
              <w:t xml:space="preserve">     %% ВВП</w:t>
            </w:r>
          </w:p>
        </w:tc>
        <w:tc>
          <w:tcPr>
            <w:tcW w:w="1020" w:type="dxa"/>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7,2</w:t>
            </w:r>
          </w:p>
        </w:tc>
        <w:tc>
          <w:tcPr>
            <w:tcW w:w="1020" w:type="dxa"/>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7,8</w:t>
            </w:r>
          </w:p>
        </w:tc>
        <w:tc>
          <w:tcPr>
            <w:tcW w:w="1020" w:type="dxa"/>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7,1</w:t>
            </w:r>
          </w:p>
        </w:tc>
        <w:tc>
          <w:tcPr>
            <w:tcW w:w="1020" w:type="dxa"/>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6,5</w:t>
            </w:r>
          </w:p>
        </w:tc>
      </w:tr>
      <w:tr w:rsidR="00133BC5" w:rsidRPr="00920E8A" w:rsidTr="00133BC5">
        <w:trPr>
          <w:trHeight w:val="340"/>
        </w:trPr>
        <w:tc>
          <w:tcPr>
            <w:tcW w:w="5211" w:type="dxa"/>
            <w:shd w:val="clear" w:color="auto" w:fill="F2F2F2"/>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i/>
                <w:iCs/>
                <w:sz w:val="20"/>
                <w:szCs w:val="20"/>
                <w:lang w:eastAsia="ru-RU"/>
              </w:rPr>
              <w:t xml:space="preserve">     в % от общего объема</w:t>
            </w:r>
          </w:p>
        </w:tc>
        <w:tc>
          <w:tcPr>
            <w:tcW w:w="1020" w:type="dxa"/>
            <w:shd w:val="clear" w:color="auto" w:fill="F2F2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42,4</w:t>
            </w:r>
          </w:p>
        </w:tc>
        <w:tc>
          <w:tcPr>
            <w:tcW w:w="1020" w:type="dxa"/>
            <w:shd w:val="clear" w:color="auto" w:fill="F2F2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41,9</w:t>
            </w:r>
          </w:p>
        </w:tc>
        <w:tc>
          <w:tcPr>
            <w:tcW w:w="1020" w:type="dxa"/>
            <w:shd w:val="clear" w:color="auto" w:fill="F2F2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39,5</w:t>
            </w:r>
          </w:p>
        </w:tc>
        <w:tc>
          <w:tcPr>
            <w:tcW w:w="1020" w:type="dxa"/>
            <w:shd w:val="clear" w:color="auto" w:fill="F2F2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37,8</w:t>
            </w:r>
          </w:p>
        </w:tc>
      </w:tr>
      <w:tr w:rsidR="00133BC5" w:rsidRPr="00920E8A" w:rsidTr="00133BC5">
        <w:trPr>
          <w:trHeight w:val="340"/>
        </w:trPr>
        <w:tc>
          <w:tcPr>
            <w:tcW w:w="5211" w:type="dxa"/>
            <w:vAlign w:val="center"/>
          </w:tcPr>
          <w:p w:rsidR="00133BC5" w:rsidRPr="00920E8A" w:rsidRDefault="00133BC5" w:rsidP="00133BC5">
            <w:pPr>
              <w:spacing w:after="0"/>
              <w:contextualSpacing/>
              <w:rPr>
                <w:rFonts w:ascii="Century" w:hAnsi="Century"/>
                <w:b/>
                <w:bCs/>
                <w:sz w:val="20"/>
                <w:szCs w:val="20"/>
                <w:lang w:eastAsia="ru-RU"/>
              </w:rPr>
            </w:pPr>
            <w:r w:rsidRPr="008D5340">
              <w:rPr>
                <w:rFonts w:ascii="Century" w:hAnsi="Century"/>
                <w:bCs/>
                <w:szCs w:val="20"/>
                <w:lang w:eastAsia="ru-RU"/>
              </w:rPr>
              <w:t xml:space="preserve">     </w:t>
            </w:r>
            <w:r w:rsidRPr="008D5340">
              <w:rPr>
                <w:rFonts w:ascii="Century" w:hAnsi="Century"/>
                <w:bCs/>
                <w:sz w:val="20"/>
                <w:szCs w:val="20"/>
                <w:lang w:eastAsia="ru-RU"/>
              </w:rPr>
              <w:t>Базовые нефтегазовые доходы</w:t>
            </w:r>
          </w:p>
        </w:tc>
        <w:tc>
          <w:tcPr>
            <w:tcW w:w="1020" w:type="dxa"/>
            <w:vAlign w:val="center"/>
          </w:tcPr>
          <w:p w:rsidR="00133BC5" w:rsidRDefault="00133BC5" w:rsidP="00133BC5">
            <w:pPr>
              <w:contextualSpacing/>
              <w:jc w:val="right"/>
              <w:rPr>
                <w:rFonts w:ascii="Century" w:hAnsi="Century"/>
                <w:sz w:val="20"/>
                <w:szCs w:val="20"/>
              </w:rPr>
            </w:pPr>
            <w:r>
              <w:rPr>
                <w:rFonts w:ascii="Century" w:hAnsi="Century"/>
                <w:sz w:val="20"/>
                <w:szCs w:val="20"/>
              </w:rPr>
              <w:t>4 495,1</w:t>
            </w:r>
          </w:p>
        </w:tc>
        <w:tc>
          <w:tcPr>
            <w:tcW w:w="1020" w:type="dxa"/>
            <w:vAlign w:val="center"/>
          </w:tcPr>
          <w:p w:rsidR="00133BC5" w:rsidRDefault="00133BC5" w:rsidP="00133BC5">
            <w:pPr>
              <w:contextualSpacing/>
              <w:jc w:val="right"/>
              <w:rPr>
                <w:rFonts w:ascii="Century" w:hAnsi="Century"/>
                <w:sz w:val="20"/>
                <w:szCs w:val="20"/>
              </w:rPr>
            </w:pPr>
            <w:r>
              <w:rPr>
                <w:rFonts w:ascii="Century" w:hAnsi="Century"/>
                <w:sz w:val="20"/>
                <w:szCs w:val="20"/>
              </w:rPr>
              <w:t>4 901,5</w:t>
            </w:r>
          </w:p>
        </w:tc>
        <w:tc>
          <w:tcPr>
            <w:tcW w:w="1020" w:type="dxa"/>
            <w:vAlign w:val="center"/>
          </w:tcPr>
          <w:p w:rsidR="00133BC5" w:rsidRDefault="00133BC5" w:rsidP="00133BC5">
            <w:pPr>
              <w:contextualSpacing/>
              <w:jc w:val="right"/>
              <w:rPr>
                <w:rFonts w:ascii="Century" w:hAnsi="Century"/>
                <w:sz w:val="20"/>
                <w:szCs w:val="20"/>
              </w:rPr>
            </w:pPr>
            <w:r>
              <w:rPr>
                <w:rFonts w:ascii="Century" w:hAnsi="Century"/>
                <w:sz w:val="20"/>
                <w:szCs w:val="20"/>
              </w:rPr>
              <w:t>5 171,6</w:t>
            </w:r>
          </w:p>
        </w:tc>
        <w:tc>
          <w:tcPr>
            <w:tcW w:w="1020" w:type="dxa"/>
            <w:vAlign w:val="center"/>
          </w:tcPr>
          <w:p w:rsidR="00133BC5" w:rsidRDefault="00133BC5" w:rsidP="00133BC5">
            <w:pPr>
              <w:contextualSpacing/>
              <w:jc w:val="right"/>
              <w:rPr>
                <w:rFonts w:ascii="Century" w:hAnsi="Century"/>
                <w:sz w:val="20"/>
                <w:szCs w:val="20"/>
              </w:rPr>
            </w:pPr>
            <w:r>
              <w:rPr>
                <w:rFonts w:ascii="Century" w:hAnsi="Century"/>
                <w:sz w:val="20"/>
                <w:szCs w:val="20"/>
              </w:rPr>
              <w:t>5 414,3</w:t>
            </w:r>
          </w:p>
        </w:tc>
      </w:tr>
      <w:tr w:rsidR="00133BC5" w:rsidRPr="00920E8A" w:rsidTr="00133BC5">
        <w:trPr>
          <w:trHeight w:val="340"/>
        </w:trPr>
        <w:tc>
          <w:tcPr>
            <w:tcW w:w="5211" w:type="dxa"/>
            <w:shd w:val="clear" w:color="auto" w:fill="F2F2F2" w:themeFill="background1" w:themeFillShade="F2"/>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i/>
                <w:iCs/>
                <w:sz w:val="20"/>
                <w:szCs w:val="20"/>
                <w:lang w:eastAsia="ru-RU"/>
              </w:rPr>
              <w:t xml:space="preserve">     %% ВВП</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4,6</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4,6</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4,6</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4,5</w:t>
            </w:r>
          </w:p>
        </w:tc>
      </w:tr>
      <w:tr w:rsidR="00133BC5" w:rsidRPr="00920E8A" w:rsidTr="00133BC5">
        <w:trPr>
          <w:trHeight w:val="340"/>
        </w:trPr>
        <w:tc>
          <w:tcPr>
            <w:tcW w:w="5211" w:type="dxa"/>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i/>
                <w:iCs/>
                <w:sz w:val="20"/>
                <w:szCs w:val="20"/>
                <w:lang w:eastAsia="ru-RU"/>
              </w:rPr>
              <w:lastRenderedPageBreak/>
              <w:t xml:space="preserve">     в % от общего объема</w:t>
            </w:r>
          </w:p>
        </w:tc>
        <w:tc>
          <w:tcPr>
            <w:tcW w:w="1020" w:type="dxa"/>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26,3</w:t>
            </w:r>
          </w:p>
        </w:tc>
        <w:tc>
          <w:tcPr>
            <w:tcW w:w="1020" w:type="dxa"/>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24,7</w:t>
            </w:r>
          </w:p>
        </w:tc>
        <w:tc>
          <w:tcPr>
            <w:tcW w:w="1020" w:type="dxa"/>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25,8</w:t>
            </w:r>
          </w:p>
        </w:tc>
        <w:tc>
          <w:tcPr>
            <w:tcW w:w="1020" w:type="dxa"/>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26,3</w:t>
            </w:r>
          </w:p>
        </w:tc>
      </w:tr>
      <w:tr w:rsidR="00133BC5" w:rsidRPr="00920E8A" w:rsidTr="00133BC5">
        <w:trPr>
          <w:trHeight w:val="340"/>
        </w:trPr>
        <w:tc>
          <w:tcPr>
            <w:tcW w:w="5211" w:type="dxa"/>
            <w:shd w:val="clear" w:color="auto" w:fill="F2F2F2" w:themeFill="background1" w:themeFillShade="F2"/>
            <w:vAlign w:val="center"/>
          </w:tcPr>
          <w:p w:rsidR="00133BC5" w:rsidRPr="00920E8A" w:rsidRDefault="00133BC5" w:rsidP="00133BC5">
            <w:pPr>
              <w:spacing w:after="0"/>
              <w:contextualSpacing/>
              <w:rPr>
                <w:rFonts w:ascii="Century" w:hAnsi="Century"/>
                <w:b/>
                <w:bCs/>
                <w:sz w:val="20"/>
                <w:szCs w:val="20"/>
                <w:lang w:eastAsia="ru-RU"/>
              </w:rPr>
            </w:pPr>
            <w:r w:rsidRPr="00920E8A">
              <w:rPr>
                <w:rFonts w:ascii="Century" w:hAnsi="Century"/>
                <w:bCs/>
                <w:sz w:val="20"/>
                <w:szCs w:val="20"/>
                <w:lang w:eastAsia="ru-RU"/>
              </w:rPr>
              <w:t xml:space="preserve">     Ненефтегазовые доходы</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sz w:val="20"/>
                <w:szCs w:val="20"/>
              </w:rPr>
            </w:pPr>
            <w:r>
              <w:rPr>
                <w:rFonts w:ascii="Century" w:hAnsi="Century"/>
                <w:sz w:val="20"/>
                <w:szCs w:val="20"/>
              </w:rPr>
              <w:t>9 838,0</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sz w:val="20"/>
                <w:szCs w:val="20"/>
              </w:rPr>
            </w:pPr>
            <w:r>
              <w:rPr>
                <w:rFonts w:ascii="Century" w:hAnsi="Century"/>
                <w:sz w:val="20"/>
                <w:szCs w:val="20"/>
              </w:rPr>
              <w:t>11 526,6</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sz w:val="20"/>
                <w:szCs w:val="20"/>
              </w:rPr>
            </w:pPr>
            <w:r>
              <w:rPr>
                <w:rFonts w:ascii="Century" w:hAnsi="Century"/>
                <w:sz w:val="20"/>
                <w:szCs w:val="20"/>
              </w:rPr>
              <w:t>12 115,2</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sz w:val="20"/>
                <w:szCs w:val="20"/>
              </w:rPr>
            </w:pPr>
            <w:r>
              <w:rPr>
                <w:rFonts w:ascii="Century" w:hAnsi="Century"/>
                <w:sz w:val="20"/>
                <w:szCs w:val="20"/>
              </w:rPr>
              <w:t>12 779,9</w:t>
            </w:r>
          </w:p>
        </w:tc>
      </w:tr>
      <w:tr w:rsidR="00133BC5" w:rsidRPr="00920E8A" w:rsidTr="00133BC5">
        <w:trPr>
          <w:trHeight w:val="340"/>
        </w:trPr>
        <w:tc>
          <w:tcPr>
            <w:tcW w:w="5211" w:type="dxa"/>
            <w:shd w:val="clear" w:color="auto" w:fill="FFFFFF" w:themeFill="background1"/>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i/>
                <w:iCs/>
                <w:sz w:val="20"/>
                <w:szCs w:val="20"/>
                <w:lang w:eastAsia="ru-RU"/>
              </w:rPr>
              <w:t xml:space="preserve">     %% ВВП</w:t>
            </w:r>
          </w:p>
        </w:tc>
        <w:tc>
          <w:tcPr>
            <w:tcW w:w="1020" w:type="dxa"/>
            <w:shd w:val="clear" w:color="auto" w:fill="FFFFFF" w:themeFill="background1"/>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9,8</w:t>
            </w:r>
          </w:p>
        </w:tc>
        <w:tc>
          <w:tcPr>
            <w:tcW w:w="1020" w:type="dxa"/>
            <w:shd w:val="clear" w:color="auto" w:fill="FFFFFF" w:themeFill="background1"/>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10,9</w:t>
            </w:r>
          </w:p>
        </w:tc>
        <w:tc>
          <w:tcPr>
            <w:tcW w:w="1020" w:type="dxa"/>
            <w:shd w:val="clear" w:color="auto" w:fill="FFFFFF" w:themeFill="background1"/>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10,9</w:t>
            </w:r>
          </w:p>
        </w:tc>
        <w:tc>
          <w:tcPr>
            <w:tcW w:w="1020" w:type="dxa"/>
            <w:shd w:val="clear" w:color="auto" w:fill="FFFFFF" w:themeFill="background1"/>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10,7</w:t>
            </w:r>
          </w:p>
        </w:tc>
      </w:tr>
      <w:tr w:rsidR="00133BC5" w:rsidRPr="00920E8A" w:rsidTr="00133BC5">
        <w:trPr>
          <w:trHeight w:val="340"/>
        </w:trPr>
        <w:tc>
          <w:tcPr>
            <w:tcW w:w="5211" w:type="dxa"/>
            <w:shd w:val="clear" w:color="auto" w:fill="F2F2F2" w:themeFill="background1" w:themeFillShade="F2"/>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i/>
                <w:iCs/>
                <w:sz w:val="20"/>
                <w:szCs w:val="20"/>
                <w:lang w:eastAsia="ru-RU"/>
              </w:rPr>
              <w:t xml:space="preserve">     в % от общего объема</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57,6</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58,1</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60,5</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62,2</w:t>
            </w:r>
          </w:p>
        </w:tc>
      </w:tr>
      <w:tr w:rsidR="00133BC5" w:rsidRPr="00920E8A" w:rsidTr="00133BC5">
        <w:trPr>
          <w:trHeight w:val="340"/>
        </w:trPr>
        <w:tc>
          <w:tcPr>
            <w:tcW w:w="5211" w:type="dxa"/>
            <w:shd w:val="clear" w:color="auto" w:fill="FFFFFF" w:themeFill="background1"/>
            <w:vAlign w:val="center"/>
          </w:tcPr>
          <w:p w:rsidR="00133BC5" w:rsidRPr="00920E8A" w:rsidRDefault="00133BC5" w:rsidP="00133BC5">
            <w:pPr>
              <w:spacing w:after="0"/>
              <w:contextualSpacing/>
              <w:rPr>
                <w:rFonts w:ascii="Century" w:hAnsi="Century"/>
                <w:b/>
                <w:bCs/>
                <w:sz w:val="20"/>
                <w:szCs w:val="20"/>
                <w:lang w:eastAsia="ru-RU"/>
              </w:rPr>
            </w:pPr>
            <w:r w:rsidRPr="00920E8A">
              <w:rPr>
                <w:rFonts w:ascii="Century" w:hAnsi="Century"/>
                <w:b/>
                <w:bCs/>
                <w:sz w:val="20"/>
                <w:szCs w:val="20"/>
                <w:lang w:eastAsia="ru-RU"/>
              </w:rPr>
              <w:t>РАСХОДЫ</w:t>
            </w:r>
          </w:p>
        </w:tc>
        <w:tc>
          <w:tcPr>
            <w:tcW w:w="1020" w:type="dxa"/>
            <w:shd w:val="clear" w:color="auto" w:fill="FFFFFF" w:themeFill="background1"/>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16 591</w:t>
            </w:r>
          </w:p>
        </w:tc>
        <w:tc>
          <w:tcPr>
            <w:tcW w:w="1020" w:type="dxa"/>
            <w:shd w:val="clear" w:color="auto" w:fill="FFFFFF" w:themeFill="background1"/>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17 897</w:t>
            </w:r>
          </w:p>
        </w:tc>
        <w:tc>
          <w:tcPr>
            <w:tcW w:w="1020" w:type="dxa"/>
            <w:shd w:val="clear" w:color="auto" w:fill="FFFFFF" w:themeFill="background1"/>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18 873</w:t>
            </w:r>
          </w:p>
        </w:tc>
        <w:tc>
          <w:tcPr>
            <w:tcW w:w="1020" w:type="dxa"/>
            <w:shd w:val="clear" w:color="auto" w:fill="FFFFFF" w:themeFill="background1"/>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19 890</w:t>
            </w:r>
          </w:p>
        </w:tc>
      </w:tr>
      <w:tr w:rsidR="00133BC5" w:rsidRPr="00920E8A" w:rsidTr="00133BC5">
        <w:trPr>
          <w:trHeight w:val="340"/>
        </w:trPr>
        <w:tc>
          <w:tcPr>
            <w:tcW w:w="5211" w:type="dxa"/>
            <w:shd w:val="clear" w:color="auto" w:fill="F2F2F2" w:themeFill="background1" w:themeFillShade="F2"/>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i/>
                <w:iCs/>
                <w:sz w:val="20"/>
                <w:szCs w:val="20"/>
                <w:lang w:eastAsia="ru-RU"/>
              </w:rPr>
              <w:t>%% ВВП</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16,5</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16,9</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16,9</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16,7</w:t>
            </w:r>
          </w:p>
        </w:tc>
      </w:tr>
      <w:tr w:rsidR="00133BC5" w:rsidRPr="00920E8A" w:rsidTr="00133BC5">
        <w:trPr>
          <w:trHeight w:val="340"/>
        </w:trPr>
        <w:tc>
          <w:tcPr>
            <w:tcW w:w="5211" w:type="dxa"/>
            <w:shd w:val="clear" w:color="auto" w:fill="FFFFFF" w:themeFill="background1"/>
            <w:vAlign w:val="center"/>
          </w:tcPr>
          <w:p w:rsidR="00133BC5" w:rsidRDefault="00133BC5" w:rsidP="00133BC5">
            <w:pPr>
              <w:spacing w:after="0"/>
              <w:contextualSpacing/>
              <w:rPr>
                <w:rFonts w:ascii="Century" w:hAnsi="Century"/>
                <w:b/>
                <w:sz w:val="20"/>
                <w:szCs w:val="20"/>
                <w:lang w:eastAsia="ru-RU"/>
              </w:rPr>
            </w:pPr>
            <w:r>
              <w:rPr>
                <w:rFonts w:ascii="Century" w:hAnsi="Century"/>
                <w:b/>
                <w:sz w:val="20"/>
                <w:szCs w:val="20"/>
                <w:lang w:eastAsia="ru-RU"/>
              </w:rPr>
              <w:t>Расходы на обслуживание государственного долга</w:t>
            </w:r>
          </w:p>
        </w:tc>
        <w:tc>
          <w:tcPr>
            <w:tcW w:w="1020" w:type="dxa"/>
            <w:shd w:val="clear" w:color="auto" w:fill="FFFFFF" w:themeFill="background1"/>
            <w:vAlign w:val="center"/>
          </w:tcPr>
          <w:p w:rsidR="00133BC5" w:rsidRPr="00A236E5" w:rsidRDefault="00133BC5" w:rsidP="00133BC5">
            <w:pPr>
              <w:spacing w:after="0"/>
              <w:contextualSpacing/>
              <w:jc w:val="right"/>
              <w:rPr>
                <w:rFonts w:ascii="Century" w:hAnsi="Century"/>
                <w:sz w:val="20"/>
                <w:szCs w:val="20"/>
              </w:rPr>
            </w:pPr>
            <w:r w:rsidRPr="00A236E5">
              <w:rPr>
                <w:rFonts w:ascii="Century" w:hAnsi="Century"/>
                <w:sz w:val="20"/>
                <w:szCs w:val="20"/>
              </w:rPr>
              <w:t>824,3</w:t>
            </w:r>
          </w:p>
        </w:tc>
        <w:tc>
          <w:tcPr>
            <w:tcW w:w="1020"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884,1</w:t>
            </w:r>
          </w:p>
        </w:tc>
        <w:tc>
          <w:tcPr>
            <w:tcW w:w="1020"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1 001,3</w:t>
            </w:r>
          </w:p>
        </w:tc>
        <w:tc>
          <w:tcPr>
            <w:tcW w:w="1020"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1 110,8</w:t>
            </w:r>
          </w:p>
        </w:tc>
      </w:tr>
      <w:tr w:rsidR="00133BC5" w:rsidRPr="00920E8A" w:rsidTr="00133BC5">
        <w:trPr>
          <w:trHeight w:val="340"/>
        </w:trPr>
        <w:tc>
          <w:tcPr>
            <w:tcW w:w="5211" w:type="dxa"/>
            <w:shd w:val="clear" w:color="auto" w:fill="F2F2F2" w:themeFill="background1" w:themeFillShade="F2"/>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i/>
                <w:iCs/>
                <w:sz w:val="20"/>
                <w:szCs w:val="20"/>
                <w:lang w:eastAsia="ru-RU"/>
              </w:rPr>
              <w:t>%% ВВП</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0,8</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0,8</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0,9</w:t>
            </w:r>
          </w:p>
        </w:tc>
        <w:tc>
          <w:tcPr>
            <w:tcW w:w="1020" w:type="dxa"/>
            <w:shd w:val="clear" w:color="auto" w:fill="F2F2F2" w:themeFill="background1" w:themeFillShade="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0,9</w:t>
            </w:r>
          </w:p>
        </w:tc>
      </w:tr>
      <w:tr w:rsidR="00133BC5" w:rsidRPr="00920E8A" w:rsidTr="00133BC5">
        <w:trPr>
          <w:trHeight w:val="340"/>
        </w:trPr>
        <w:tc>
          <w:tcPr>
            <w:tcW w:w="5211" w:type="dxa"/>
            <w:shd w:val="clear" w:color="auto" w:fill="FFFFFF" w:themeFill="background1"/>
            <w:vAlign w:val="center"/>
          </w:tcPr>
          <w:p w:rsidR="00133BC5" w:rsidRDefault="00133BC5" w:rsidP="00133BC5">
            <w:pPr>
              <w:spacing w:after="0"/>
              <w:contextualSpacing/>
              <w:rPr>
                <w:rFonts w:ascii="Century" w:hAnsi="Century"/>
                <w:sz w:val="20"/>
                <w:szCs w:val="20"/>
                <w:lang w:eastAsia="ru-RU"/>
              </w:rPr>
            </w:pPr>
            <w:r>
              <w:rPr>
                <w:rFonts w:ascii="Century" w:hAnsi="Century"/>
                <w:b/>
                <w:sz w:val="20"/>
                <w:szCs w:val="20"/>
                <w:lang w:eastAsia="ru-RU"/>
              </w:rPr>
              <w:t>ПЕРВИЧНЫЙ СТРУКТУРНЫЙ БАЛАНС</w:t>
            </w:r>
            <w:r>
              <w:rPr>
                <w:rFonts w:ascii="Century" w:hAnsi="Century"/>
                <w:sz w:val="20"/>
                <w:szCs w:val="20"/>
                <w:lang w:eastAsia="ru-RU"/>
              </w:rPr>
              <w:t xml:space="preserve"> </w:t>
            </w:r>
          </w:p>
          <w:p w:rsidR="00133BC5" w:rsidRPr="009B5094" w:rsidRDefault="00133BC5" w:rsidP="00133BC5">
            <w:pPr>
              <w:spacing w:after="0"/>
              <w:contextualSpacing/>
              <w:rPr>
                <w:rFonts w:ascii="Century" w:hAnsi="Century"/>
                <w:bCs/>
                <w:sz w:val="20"/>
                <w:szCs w:val="20"/>
                <w:lang w:eastAsia="ru-RU"/>
              </w:rPr>
            </w:pPr>
            <w:r>
              <w:rPr>
                <w:rFonts w:ascii="Century" w:hAnsi="Century"/>
                <w:sz w:val="20"/>
                <w:szCs w:val="20"/>
                <w:lang w:eastAsia="ru-RU"/>
              </w:rPr>
              <w:t>(при базовой цене на нефть)</w:t>
            </w:r>
          </w:p>
        </w:tc>
        <w:tc>
          <w:tcPr>
            <w:tcW w:w="1020" w:type="dxa"/>
            <w:shd w:val="clear" w:color="auto" w:fill="FFFFFF" w:themeFill="background1"/>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-1 434</w:t>
            </w:r>
          </w:p>
        </w:tc>
        <w:tc>
          <w:tcPr>
            <w:tcW w:w="1020" w:type="dxa"/>
            <w:shd w:val="clear" w:color="auto" w:fill="FFFFFF" w:themeFill="background1"/>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-585</w:t>
            </w:r>
          </w:p>
        </w:tc>
        <w:tc>
          <w:tcPr>
            <w:tcW w:w="1020" w:type="dxa"/>
            <w:shd w:val="clear" w:color="auto" w:fill="FFFFFF" w:themeFill="background1"/>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-585</w:t>
            </w:r>
          </w:p>
        </w:tc>
        <w:tc>
          <w:tcPr>
            <w:tcW w:w="1020" w:type="dxa"/>
            <w:shd w:val="clear" w:color="auto" w:fill="FFFFFF" w:themeFill="background1"/>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-585</w:t>
            </w:r>
          </w:p>
        </w:tc>
      </w:tr>
      <w:tr w:rsidR="00133BC5" w:rsidRPr="00920E8A" w:rsidTr="00133BC5">
        <w:trPr>
          <w:trHeight w:val="340"/>
        </w:trPr>
        <w:tc>
          <w:tcPr>
            <w:tcW w:w="5211" w:type="dxa"/>
            <w:shd w:val="clear" w:color="auto" w:fill="F2F2F2"/>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i/>
                <w:iCs/>
                <w:sz w:val="20"/>
                <w:szCs w:val="20"/>
                <w:lang w:eastAsia="ru-RU"/>
              </w:rPr>
              <w:t>%% ВВП</w:t>
            </w:r>
          </w:p>
        </w:tc>
        <w:tc>
          <w:tcPr>
            <w:tcW w:w="1020" w:type="dxa"/>
            <w:shd w:val="clear" w:color="auto" w:fill="F2F2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-1,4</w:t>
            </w:r>
          </w:p>
        </w:tc>
        <w:tc>
          <w:tcPr>
            <w:tcW w:w="1020" w:type="dxa"/>
            <w:shd w:val="clear" w:color="auto" w:fill="F2F2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-0,6</w:t>
            </w:r>
          </w:p>
        </w:tc>
        <w:tc>
          <w:tcPr>
            <w:tcW w:w="1020" w:type="dxa"/>
            <w:shd w:val="clear" w:color="auto" w:fill="F2F2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-0,5</w:t>
            </w:r>
          </w:p>
        </w:tc>
        <w:tc>
          <w:tcPr>
            <w:tcW w:w="1020" w:type="dxa"/>
            <w:shd w:val="clear" w:color="auto" w:fill="F2F2F2"/>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-0,5</w:t>
            </w:r>
          </w:p>
        </w:tc>
      </w:tr>
      <w:tr w:rsidR="00133BC5" w:rsidRPr="00920E8A" w:rsidTr="00133BC5">
        <w:trPr>
          <w:trHeight w:val="340"/>
        </w:trPr>
        <w:tc>
          <w:tcPr>
            <w:tcW w:w="5211" w:type="dxa"/>
            <w:shd w:val="clear" w:color="auto" w:fill="FFFFFF" w:themeFill="background1"/>
            <w:vAlign w:val="center"/>
          </w:tcPr>
          <w:p w:rsidR="00133BC5" w:rsidRPr="009B5094" w:rsidRDefault="00133BC5" w:rsidP="00133BC5">
            <w:pPr>
              <w:spacing w:after="0"/>
              <w:contextualSpacing/>
              <w:rPr>
                <w:rFonts w:ascii="Century" w:hAnsi="Century"/>
                <w:b/>
                <w:i/>
                <w:sz w:val="20"/>
                <w:szCs w:val="20"/>
                <w:lang w:eastAsia="ru-RU"/>
              </w:rPr>
            </w:pPr>
            <w:r w:rsidRPr="009B5094">
              <w:rPr>
                <w:rFonts w:ascii="Century" w:hAnsi="Century"/>
                <w:b/>
                <w:i/>
                <w:sz w:val="20"/>
                <w:szCs w:val="20"/>
                <w:lang w:eastAsia="ru-RU"/>
              </w:rPr>
              <w:t>Справочно:</w:t>
            </w:r>
          </w:p>
        </w:tc>
        <w:tc>
          <w:tcPr>
            <w:tcW w:w="1020" w:type="dxa"/>
            <w:shd w:val="clear" w:color="auto" w:fill="FFFFFF" w:themeFill="background1"/>
            <w:vAlign w:val="center"/>
          </w:tcPr>
          <w:p w:rsidR="00133BC5" w:rsidRDefault="00133BC5" w:rsidP="00133BC5">
            <w:pPr>
              <w:contextualSpacing/>
              <w:jc w:val="right"/>
              <w:rPr>
                <w:rFonts w:ascii="Century" w:hAnsi="Century"/>
                <w:b/>
                <w:bCs/>
                <w:sz w:val="20"/>
                <w:szCs w:val="20"/>
              </w:rPr>
            </w:pPr>
          </w:p>
        </w:tc>
        <w:tc>
          <w:tcPr>
            <w:tcW w:w="1020" w:type="dxa"/>
            <w:shd w:val="clear" w:color="auto" w:fill="FFFFFF" w:themeFill="background1"/>
            <w:vAlign w:val="center"/>
          </w:tcPr>
          <w:p w:rsidR="00133BC5" w:rsidRDefault="00133BC5" w:rsidP="00133BC5">
            <w:pPr>
              <w:contextualSpacing/>
              <w:jc w:val="right"/>
              <w:rPr>
                <w:rFonts w:ascii="Century" w:hAnsi="Century"/>
                <w:b/>
                <w:bCs/>
                <w:sz w:val="20"/>
                <w:szCs w:val="20"/>
              </w:rPr>
            </w:pPr>
          </w:p>
        </w:tc>
        <w:tc>
          <w:tcPr>
            <w:tcW w:w="1020" w:type="dxa"/>
            <w:shd w:val="clear" w:color="auto" w:fill="FFFFFF" w:themeFill="background1"/>
            <w:vAlign w:val="center"/>
          </w:tcPr>
          <w:p w:rsidR="00133BC5" w:rsidRDefault="00133BC5" w:rsidP="00133BC5">
            <w:pPr>
              <w:contextualSpacing/>
              <w:jc w:val="right"/>
              <w:rPr>
                <w:rFonts w:ascii="Century" w:hAnsi="Century"/>
                <w:b/>
                <w:bCs/>
                <w:sz w:val="20"/>
                <w:szCs w:val="20"/>
              </w:rPr>
            </w:pPr>
          </w:p>
        </w:tc>
        <w:tc>
          <w:tcPr>
            <w:tcW w:w="1020" w:type="dxa"/>
            <w:shd w:val="clear" w:color="auto" w:fill="FFFFFF" w:themeFill="background1"/>
            <w:vAlign w:val="center"/>
          </w:tcPr>
          <w:p w:rsidR="00133BC5" w:rsidRDefault="00133BC5" w:rsidP="00133BC5">
            <w:pPr>
              <w:contextualSpacing/>
              <w:jc w:val="right"/>
              <w:rPr>
                <w:rFonts w:ascii="Century" w:hAnsi="Century"/>
                <w:b/>
                <w:bCs/>
                <w:sz w:val="20"/>
                <w:szCs w:val="20"/>
              </w:rPr>
            </w:pPr>
          </w:p>
        </w:tc>
      </w:tr>
      <w:tr w:rsidR="00133BC5" w:rsidRPr="00920E8A" w:rsidTr="00133BC5">
        <w:trPr>
          <w:trHeight w:val="340"/>
        </w:trPr>
        <w:tc>
          <w:tcPr>
            <w:tcW w:w="5211" w:type="dxa"/>
            <w:shd w:val="clear" w:color="auto" w:fill="F2F2F2"/>
            <w:vAlign w:val="center"/>
          </w:tcPr>
          <w:p w:rsidR="00133BC5" w:rsidRPr="00920E8A" w:rsidRDefault="00133BC5" w:rsidP="00133BC5">
            <w:pPr>
              <w:spacing w:after="0"/>
              <w:contextualSpacing/>
              <w:rPr>
                <w:rFonts w:ascii="Century" w:hAnsi="Century"/>
                <w:b/>
                <w:sz w:val="20"/>
                <w:szCs w:val="20"/>
                <w:lang w:eastAsia="ru-RU"/>
              </w:rPr>
            </w:pPr>
            <w:r>
              <w:rPr>
                <w:rFonts w:ascii="Century" w:hAnsi="Century"/>
                <w:b/>
                <w:sz w:val="20"/>
                <w:szCs w:val="20"/>
                <w:lang w:eastAsia="ru-RU"/>
              </w:rPr>
              <w:t>НЕНЕФТЕГАЗОВЫЙ БАЛАНС</w:t>
            </w:r>
          </w:p>
        </w:tc>
        <w:tc>
          <w:tcPr>
            <w:tcW w:w="1020" w:type="dxa"/>
            <w:shd w:val="clear" w:color="auto" w:fill="F2F2F2"/>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-6 753</w:t>
            </w:r>
          </w:p>
        </w:tc>
        <w:tc>
          <w:tcPr>
            <w:tcW w:w="1020" w:type="dxa"/>
            <w:shd w:val="clear" w:color="auto" w:fill="F2F2F2"/>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-6 370</w:t>
            </w:r>
          </w:p>
        </w:tc>
        <w:tc>
          <w:tcPr>
            <w:tcW w:w="1020" w:type="dxa"/>
            <w:shd w:val="clear" w:color="auto" w:fill="F2F2F2"/>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-6 758</w:t>
            </w:r>
          </w:p>
        </w:tc>
        <w:tc>
          <w:tcPr>
            <w:tcW w:w="1020" w:type="dxa"/>
            <w:shd w:val="clear" w:color="auto" w:fill="F2F2F2"/>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-7 110</w:t>
            </w:r>
          </w:p>
        </w:tc>
      </w:tr>
      <w:tr w:rsidR="00133BC5" w:rsidRPr="00920E8A" w:rsidTr="00133BC5">
        <w:trPr>
          <w:trHeight w:val="340"/>
        </w:trPr>
        <w:tc>
          <w:tcPr>
            <w:tcW w:w="5211" w:type="dxa"/>
            <w:shd w:val="clear" w:color="auto" w:fill="FFFFFF" w:themeFill="background1"/>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i/>
                <w:iCs/>
                <w:sz w:val="20"/>
                <w:szCs w:val="20"/>
                <w:lang w:eastAsia="ru-RU"/>
              </w:rPr>
              <w:t>%% ВВП</w:t>
            </w:r>
          </w:p>
        </w:tc>
        <w:tc>
          <w:tcPr>
            <w:tcW w:w="1020" w:type="dxa"/>
            <w:shd w:val="clear" w:color="auto" w:fill="FFFFFF" w:themeFill="background1"/>
            <w:vAlign w:val="center"/>
          </w:tcPr>
          <w:p w:rsidR="00133BC5" w:rsidRPr="009B5094" w:rsidRDefault="00133BC5" w:rsidP="00133BC5">
            <w:pPr>
              <w:contextualSpacing/>
              <w:jc w:val="right"/>
              <w:rPr>
                <w:rFonts w:ascii="Century" w:hAnsi="Century"/>
                <w:bCs/>
                <w:i/>
                <w:iCs/>
                <w:sz w:val="20"/>
                <w:szCs w:val="20"/>
              </w:rPr>
            </w:pPr>
            <w:r w:rsidRPr="009B5094">
              <w:rPr>
                <w:rFonts w:ascii="Century" w:hAnsi="Century"/>
                <w:bCs/>
                <w:i/>
                <w:iCs/>
                <w:sz w:val="20"/>
                <w:szCs w:val="20"/>
              </w:rPr>
              <w:t>-6,7</w:t>
            </w:r>
          </w:p>
        </w:tc>
        <w:tc>
          <w:tcPr>
            <w:tcW w:w="1020" w:type="dxa"/>
            <w:shd w:val="clear" w:color="auto" w:fill="FFFFFF" w:themeFill="background1"/>
            <w:vAlign w:val="center"/>
          </w:tcPr>
          <w:p w:rsidR="00133BC5" w:rsidRPr="009B5094" w:rsidRDefault="00133BC5" w:rsidP="00133BC5">
            <w:pPr>
              <w:contextualSpacing/>
              <w:jc w:val="right"/>
              <w:rPr>
                <w:rFonts w:ascii="Century" w:hAnsi="Century"/>
                <w:bCs/>
                <w:i/>
                <w:iCs/>
                <w:sz w:val="20"/>
                <w:szCs w:val="20"/>
              </w:rPr>
            </w:pPr>
            <w:r w:rsidRPr="009B5094">
              <w:rPr>
                <w:rFonts w:ascii="Century" w:hAnsi="Century"/>
                <w:bCs/>
                <w:i/>
                <w:iCs/>
                <w:sz w:val="20"/>
                <w:szCs w:val="20"/>
              </w:rPr>
              <w:t>-6,0</w:t>
            </w:r>
          </w:p>
        </w:tc>
        <w:tc>
          <w:tcPr>
            <w:tcW w:w="1020" w:type="dxa"/>
            <w:shd w:val="clear" w:color="auto" w:fill="FFFFFF" w:themeFill="background1"/>
            <w:vAlign w:val="center"/>
          </w:tcPr>
          <w:p w:rsidR="00133BC5" w:rsidRPr="009B5094" w:rsidRDefault="00133BC5" w:rsidP="00133BC5">
            <w:pPr>
              <w:contextualSpacing/>
              <w:jc w:val="right"/>
              <w:rPr>
                <w:rFonts w:ascii="Century" w:hAnsi="Century"/>
                <w:bCs/>
                <w:i/>
                <w:iCs/>
                <w:sz w:val="20"/>
                <w:szCs w:val="20"/>
              </w:rPr>
            </w:pPr>
            <w:r w:rsidRPr="009B5094">
              <w:rPr>
                <w:rFonts w:ascii="Century" w:hAnsi="Century"/>
                <w:bCs/>
                <w:i/>
                <w:iCs/>
                <w:sz w:val="20"/>
                <w:szCs w:val="20"/>
              </w:rPr>
              <w:t>-6,1</w:t>
            </w:r>
          </w:p>
        </w:tc>
        <w:tc>
          <w:tcPr>
            <w:tcW w:w="1020" w:type="dxa"/>
            <w:shd w:val="clear" w:color="auto" w:fill="FFFFFF" w:themeFill="background1"/>
            <w:vAlign w:val="center"/>
          </w:tcPr>
          <w:p w:rsidR="00133BC5" w:rsidRPr="009B5094" w:rsidRDefault="00133BC5" w:rsidP="00133BC5">
            <w:pPr>
              <w:contextualSpacing/>
              <w:jc w:val="right"/>
              <w:rPr>
                <w:rFonts w:ascii="Century" w:hAnsi="Century"/>
                <w:bCs/>
                <w:i/>
                <w:iCs/>
                <w:sz w:val="20"/>
                <w:szCs w:val="20"/>
              </w:rPr>
            </w:pPr>
            <w:r w:rsidRPr="009B5094">
              <w:rPr>
                <w:rFonts w:ascii="Century" w:hAnsi="Century"/>
                <w:bCs/>
                <w:i/>
                <w:iCs/>
                <w:sz w:val="20"/>
                <w:szCs w:val="20"/>
              </w:rPr>
              <w:t>-6,0</w:t>
            </w:r>
          </w:p>
        </w:tc>
      </w:tr>
      <w:tr w:rsidR="00133BC5" w:rsidRPr="00920E8A" w:rsidTr="00133BC5">
        <w:trPr>
          <w:trHeight w:val="340"/>
        </w:trPr>
        <w:tc>
          <w:tcPr>
            <w:tcW w:w="5211" w:type="dxa"/>
            <w:shd w:val="clear" w:color="auto" w:fill="F2F2F2"/>
            <w:vAlign w:val="center"/>
          </w:tcPr>
          <w:p w:rsidR="00133BC5" w:rsidRPr="00920E8A" w:rsidRDefault="00133BC5" w:rsidP="00133BC5">
            <w:pPr>
              <w:spacing w:after="0"/>
              <w:contextualSpacing/>
              <w:rPr>
                <w:rFonts w:ascii="Century" w:hAnsi="Century"/>
                <w:b/>
                <w:bCs/>
                <w:sz w:val="20"/>
                <w:szCs w:val="20"/>
                <w:lang w:eastAsia="ru-RU"/>
              </w:rPr>
            </w:pPr>
            <w:r w:rsidRPr="00920E8A">
              <w:rPr>
                <w:rFonts w:ascii="Century" w:hAnsi="Century"/>
                <w:b/>
                <w:sz w:val="20"/>
                <w:szCs w:val="20"/>
                <w:lang w:eastAsia="ru-RU"/>
              </w:rPr>
              <w:t>БАЛАНС</w:t>
            </w:r>
          </w:p>
        </w:tc>
        <w:tc>
          <w:tcPr>
            <w:tcW w:w="1020" w:type="dxa"/>
            <w:shd w:val="clear" w:color="auto" w:fill="F2F2F2"/>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482</w:t>
            </w:r>
          </w:p>
        </w:tc>
        <w:tc>
          <w:tcPr>
            <w:tcW w:w="1020" w:type="dxa"/>
            <w:shd w:val="clear" w:color="auto" w:fill="F2F2F2"/>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1 954</w:t>
            </w:r>
          </w:p>
        </w:tc>
        <w:tc>
          <w:tcPr>
            <w:tcW w:w="1020" w:type="dxa"/>
            <w:shd w:val="clear" w:color="auto" w:fill="F2F2F2"/>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1 153</w:t>
            </w:r>
          </w:p>
        </w:tc>
        <w:tc>
          <w:tcPr>
            <w:tcW w:w="1020" w:type="dxa"/>
            <w:shd w:val="clear" w:color="auto" w:fill="F2F2F2"/>
            <w:vAlign w:val="center"/>
          </w:tcPr>
          <w:p w:rsidR="00133BC5" w:rsidRDefault="00133BC5" w:rsidP="00133BC5">
            <w:pPr>
              <w:contextualSpacing/>
              <w:jc w:val="right"/>
              <w:rPr>
                <w:rFonts w:ascii="Century" w:hAnsi="Century"/>
                <w:b/>
                <w:bCs/>
                <w:sz w:val="20"/>
                <w:szCs w:val="20"/>
              </w:rPr>
            </w:pPr>
            <w:r>
              <w:rPr>
                <w:rFonts w:ascii="Century" w:hAnsi="Century"/>
                <w:b/>
                <w:bCs/>
                <w:sz w:val="20"/>
                <w:szCs w:val="20"/>
              </w:rPr>
              <w:t>659</w:t>
            </w:r>
          </w:p>
        </w:tc>
      </w:tr>
      <w:tr w:rsidR="00133BC5" w:rsidRPr="00920E8A" w:rsidTr="00133BC5">
        <w:trPr>
          <w:trHeight w:val="340"/>
        </w:trPr>
        <w:tc>
          <w:tcPr>
            <w:tcW w:w="5211" w:type="dxa"/>
            <w:tcBorders>
              <w:bottom w:val="single" w:sz="4" w:space="0" w:color="auto"/>
            </w:tcBorders>
            <w:shd w:val="clear" w:color="auto" w:fill="FFFFFF"/>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i/>
                <w:iCs/>
                <w:sz w:val="20"/>
                <w:szCs w:val="20"/>
                <w:lang w:eastAsia="ru-RU"/>
              </w:rPr>
              <w:t>%% ВВП</w:t>
            </w:r>
          </w:p>
        </w:tc>
        <w:tc>
          <w:tcPr>
            <w:tcW w:w="1020" w:type="dxa"/>
            <w:tcBorders>
              <w:bottom w:val="single" w:sz="4" w:space="0" w:color="auto"/>
            </w:tcBorders>
            <w:shd w:val="clear" w:color="auto" w:fill="FFFFFF"/>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0,5</w:t>
            </w:r>
          </w:p>
        </w:tc>
        <w:tc>
          <w:tcPr>
            <w:tcW w:w="1020" w:type="dxa"/>
            <w:tcBorders>
              <w:bottom w:val="single" w:sz="4" w:space="0" w:color="auto"/>
            </w:tcBorders>
            <w:shd w:val="clear" w:color="auto" w:fill="FFFFFF"/>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1,8</w:t>
            </w:r>
          </w:p>
        </w:tc>
        <w:tc>
          <w:tcPr>
            <w:tcW w:w="1020" w:type="dxa"/>
            <w:tcBorders>
              <w:bottom w:val="single" w:sz="4" w:space="0" w:color="auto"/>
            </w:tcBorders>
            <w:shd w:val="clear" w:color="auto" w:fill="FFFFFF"/>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1,0</w:t>
            </w:r>
          </w:p>
        </w:tc>
        <w:tc>
          <w:tcPr>
            <w:tcW w:w="1020" w:type="dxa"/>
            <w:tcBorders>
              <w:bottom w:val="single" w:sz="4" w:space="0" w:color="auto"/>
            </w:tcBorders>
            <w:shd w:val="clear" w:color="auto" w:fill="FFFFFF"/>
            <w:vAlign w:val="center"/>
          </w:tcPr>
          <w:p w:rsidR="00133BC5" w:rsidRDefault="00133BC5" w:rsidP="00133BC5">
            <w:pPr>
              <w:contextualSpacing/>
              <w:jc w:val="right"/>
              <w:rPr>
                <w:rFonts w:ascii="Century" w:hAnsi="Century"/>
                <w:i/>
                <w:iCs/>
                <w:sz w:val="20"/>
                <w:szCs w:val="20"/>
              </w:rPr>
            </w:pPr>
            <w:r>
              <w:rPr>
                <w:rFonts w:ascii="Century" w:hAnsi="Century"/>
                <w:i/>
                <w:iCs/>
                <w:sz w:val="20"/>
                <w:szCs w:val="20"/>
              </w:rPr>
              <w:t>0,6</w:t>
            </w:r>
          </w:p>
        </w:tc>
      </w:tr>
    </w:tbl>
    <w:p w:rsidR="00133BC5" w:rsidRPr="00133BC5" w:rsidRDefault="00133BC5" w:rsidP="00133BC5">
      <w:pPr>
        <w:spacing w:after="120"/>
        <w:jc w:val="both"/>
        <w:rPr>
          <w:rFonts w:ascii="Times New Roman" w:hAnsi="Times New Roman"/>
          <w:b/>
          <w:sz w:val="28"/>
          <w:szCs w:val="24"/>
        </w:rPr>
      </w:pPr>
      <w:r w:rsidRPr="00133BC5">
        <w:rPr>
          <w:rFonts w:ascii="Times New Roman" w:hAnsi="Times New Roman"/>
          <w:b/>
          <w:sz w:val="28"/>
          <w:szCs w:val="24"/>
        </w:rPr>
        <w:t>Доходы федерального бюджета</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sz w:val="24"/>
          <w:szCs w:val="24"/>
        </w:rPr>
        <w:t>В 2019 году ожидается существенное увеличение доходов федерального бюджета по отношению к ВВП, что связано с предполагаемыми изменениями налогового законодательства (в первую очередь, повышением ставки НДС с 18 до 20%), ростом нефтегазовых доходов на фоне более высокой цены на нефть по сравнению с заложенной в бюджет на текущий год и изменением ряда других макроэкономических показателей.</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sz w:val="24"/>
          <w:szCs w:val="24"/>
        </w:rPr>
        <w:t>В последующие годы ожидается снижение доли доходов федерального бюджета к ВВП за счет снижения нефтегазовых доходов, что обусловлено следующими факторами:</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sz w:val="24"/>
          <w:szCs w:val="24"/>
        </w:rPr>
        <w:t>- во-первых, ожидается, что после небольшого кратковременного всплеска цен на углеводороды в текущем году, приведшего к росту нефтегазовых доходов, в отсутствие серьезных шоков в глобальной экономике цены на энергоносители на мировом рынке вернутся к структурно сбалансированного уровню (нефть марки Юралс 57,9 долларов США за баррель в 2021 году), в то время как курс рубля к доллару США в 2019-2021 годах будет оставаться стабильным в реальном выражении;</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sz w:val="24"/>
          <w:szCs w:val="24"/>
        </w:rPr>
        <w:t>- во-вторых, в течение прогнозного периода доля самого нефтегазового сектора в структуре ВВП продолжит снижаться на фоне отстающих темпов роста (снижения по отдельным позициям) физических объемов добычи и экспорта данной продукции, в том числе в рамках выполнения соглашения производителей нефти о заморозке её добычи.</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sz w:val="24"/>
          <w:szCs w:val="24"/>
        </w:rPr>
        <w:t>- в-третьих, по мере роста истощенности разрабатываемых запасов, а также переноса инвестиций на льготные месторождения продолжит расти размер льгот предприятий нефтегазового сектора;</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sz w:val="24"/>
          <w:szCs w:val="24"/>
        </w:rPr>
        <w:t>- в-четвертых, в результате введения налога на дополнительный доход от добычи углеводородного сырья ожидается снижение поступлений налога на добычу полезных ископаемых при добыче на льготируемых месторождениях.</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sz w:val="24"/>
          <w:szCs w:val="24"/>
        </w:rPr>
        <w:lastRenderedPageBreak/>
        <w:t>В прогнозе доходов на 2019-2021 годы учтено завершение налогового маневра в нефтегазовой отрасли, при этом доходы в части налога на добычу полезных ископаемых увеличатся за счет повышения ставки НДПИ на нефть и отмены части льгот при добыче сверхвязкой и трудноизвлекаемой нефти при одновременном снижении экспортной пошлины на углеводородное сырье и нефтепродукты с доведением их к 2024 году до нулевого уровня. При этом предусмотрено введение возвратного акциза на нефть для нефтепереработки и повышение ставок возвратных акцизов на отдельные нефтепродукты. По результатам  завершения налогового маневра доходы федерального бюджета к в 2021 году вырастут на сумму порядка 300 млрд. рублей.</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sz w:val="24"/>
          <w:szCs w:val="24"/>
        </w:rPr>
        <w:t xml:space="preserve">Ненефтегазовые доходы федерального бюджета в рассматриваемом периоде после их увеличения в 2019 году будут оставаться на стабильном к ВВП уровне.  </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sz w:val="24"/>
          <w:szCs w:val="24"/>
        </w:rPr>
        <w:t>Структура ненефтегазовых доходов в 2019-2021 годах остается стабильной при незначительном росте доли НДС (на 1,9 п.п.) и одновременном снижении доли акцизов на товары, производимые на территории Российской Федерации (на 1,4 п.п.) в результате передачи части акцизов в бюджеты субъектов Российской Федерации: норматив зачисления акцизов на крепкий алкоголь в бюджеты субъектов с 2019 года повысится с 50 до 80 процентов, норматив зачисления акцизов на нефтепродукты будет постепенно увеличиваться начиная с 2020 года, и к 2024 году будет доведен до 100% (потери федерального бюджета составят порядка 120 млрд. рублей в 2021 году).</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sz w:val="24"/>
          <w:szCs w:val="24"/>
        </w:rPr>
        <w:t xml:space="preserve">Существенный вклад в ненефтегазовые доходы в рассматриваемом периоде будут вносить поступления дивидендов от компаний с государственным участием. В прогнозе учтен единый подход к определению дивидендной политики компаний – направление на дивиденды не менее 50% чистой прибыли за предыдущий год по МСФО. </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sz w:val="24"/>
          <w:szCs w:val="24"/>
        </w:rPr>
        <w:t xml:space="preserve">Эти меры в соответствии с целями и задачами бюджетной политики не только обеспечат положительный эффект с фискальной точки зрения, но и поспособствуют созданию положительных структурных изменений и устранению препятствий для сбалансированного развития экономики. </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b/>
          <w:sz w:val="24"/>
          <w:szCs w:val="24"/>
        </w:rPr>
        <w:t>Таблица 4.1.2.</w:t>
      </w:r>
      <w:r w:rsidRPr="00133BC5">
        <w:rPr>
          <w:rFonts w:ascii="Times New Roman" w:hAnsi="Times New Roman"/>
          <w:sz w:val="24"/>
          <w:szCs w:val="24"/>
        </w:rPr>
        <w:t xml:space="preserve"> Доходы федерального бюджета в 2019-2021 гг.</w:t>
      </w:r>
    </w:p>
    <w:p w:rsidR="00133BC5" w:rsidRPr="00133BC5" w:rsidRDefault="00133BC5" w:rsidP="00133BC5">
      <w:pPr>
        <w:spacing w:after="0"/>
        <w:contextualSpacing/>
        <w:jc w:val="right"/>
        <w:rPr>
          <w:rFonts w:ascii="Times New Roman" w:hAnsi="Times New Roman"/>
          <w:i/>
          <w:sz w:val="24"/>
          <w:szCs w:val="24"/>
        </w:rPr>
      </w:pPr>
      <w:r w:rsidRPr="00133BC5">
        <w:rPr>
          <w:rFonts w:ascii="Times New Roman" w:hAnsi="Times New Roman"/>
          <w:i/>
          <w:sz w:val="24"/>
          <w:szCs w:val="24"/>
        </w:rPr>
        <w:t>млрд рублей</w:t>
      </w:r>
    </w:p>
    <w:tbl>
      <w:tblPr>
        <w:tblStyle w:val="aff3"/>
        <w:tblW w:w="9180" w:type="dxa"/>
        <w:tblLayout w:type="fixed"/>
        <w:tblLook w:val="04A0" w:firstRow="1" w:lastRow="0" w:firstColumn="1" w:lastColumn="0" w:noHBand="0" w:noVBand="1"/>
      </w:tblPr>
      <w:tblGrid>
        <w:gridCol w:w="4077"/>
        <w:gridCol w:w="1275"/>
        <w:gridCol w:w="1276"/>
        <w:gridCol w:w="1276"/>
        <w:gridCol w:w="1276"/>
      </w:tblGrid>
      <w:tr w:rsidR="00133BC5" w:rsidRPr="00920E8A" w:rsidTr="00133BC5">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077" w:type="dxa"/>
            <w:tcBorders>
              <w:top w:val="nil"/>
              <w:bottom w:val="single" w:sz="4" w:space="0" w:color="auto"/>
            </w:tcBorders>
            <w:shd w:val="clear" w:color="auto" w:fill="auto"/>
            <w:vAlign w:val="center"/>
            <w:hideMark/>
          </w:tcPr>
          <w:p w:rsidR="00133BC5" w:rsidRPr="00920E8A" w:rsidRDefault="00133BC5" w:rsidP="00133BC5">
            <w:pPr>
              <w:spacing w:after="0"/>
              <w:contextualSpacing/>
              <w:rPr>
                <w:rFonts w:ascii="Century" w:eastAsia="Times New Roman" w:hAnsi="Century"/>
                <w:bCs w:val="0"/>
                <w:color w:val="auto"/>
              </w:rPr>
            </w:pPr>
            <w:r w:rsidRPr="00920E8A">
              <w:rPr>
                <w:rFonts w:ascii="Century" w:eastAsia="Times New Roman" w:hAnsi="Century"/>
                <w:bCs w:val="0"/>
                <w:color w:val="auto"/>
              </w:rPr>
              <w:t>Показатель</w:t>
            </w:r>
          </w:p>
        </w:tc>
        <w:tc>
          <w:tcPr>
            <w:tcW w:w="1275" w:type="dxa"/>
            <w:tcBorders>
              <w:top w:val="nil"/>
              <w:bottom w:val="single" w:sz="4" w:space="0" w:color="auto"/>
            </w:tcBorders>
            <w:shd w:val="clear" w:color="auto" w:fill="auto"/>
          </w:tcPr>
          <w:p w:rsidR="00133BC5" w:rsidRPr="00920E8A" w:rsidRDefault="00133BC5" w:rsidP="00133BC5">
            <w:pPr>
              <w:spacing w:after="0"/>
              <w:contextualSpacing/>
              <w:jc w:val="right"/>
              <w:cnfStyle w:val="100000000000" w:firstRow="1" w:lastRow="0" w:firstColumn="0" w:lastColumn="0" w:oddVBand="0" w:evenVBand="0" w:oddHBand="0" w:evenHBand="0" w:firstRowFirstColumn="0" w:firstRowLastColumn="0" w:lastRowFirstColumn="0" w:lastRowLastColumn="0"/>
              <w:rPr>
                <w:rFonts w:ascii="Century" w:eastAsia="Times New Roman" w:hAnsi="Century"/>
              </w:rPr>
            </w:pPr>
            <w:r>
              <w:rPr>
                <w:rFonts w:ascii="Century" w:eastAsia="Times New Roman" w:hAnsi="Century"/>
                <w:color w:val="auto"/>
              </w:rPr>
              <w:t>2018</w:t>
            </w:r>
          </w:p>
        </w:tc>
        <w:tc>
          <w:tcPr>
            <w:tcW w:w="1276" w:type="dxa"/>
            <w:tcBorders>
              <w:top w:val="nil"/>
              <w:bottom w:val="single" w:sz="4" w:space="0" w:color="auto"/>
            </w:tcBorders>
            <w:shd w:val="clear" w:color="auto" w:fill="auto"/>
            <w:noWrap/>
            <w:vAlign w:val="center"/>
            <w:hideMark/>
          </w:tcPr>
          <w:p w:rsidR="00133BC5" w:rsidRPr="00920E8A" w:rsidRDefault="00133BC5" w:rsidP="00133BC5">
            <w:pPr>
              <w:spacing w:after="0"/>
              <w:contextualSpacing/>
              <w:jc w:val="right"/>
              <w:cnfStyle w:val="100000000000" w:firstRow="1" w:lastRow="0" w:firstColumn="0" w:lastColumn="0" w:oddVBand="0" w:evenVBand="0" w:oddHBand="0" w:evenHBand="0" w:firstRowFirstColumn="0" w:firstRowLastColumn="0" w:lastRowFirstColumn="0" w:lastRowLastColumn="0"/>
              <w:rPr>
                <w:rFonts w:ascii="Century" w:eastAsia="Times New Roman" w:hAnsi="Century"/>
                <w:bCs w:val="0"/>
                <w:color w:val="auto"/>
              </w:rPr>
            </w:pPr>
            <w:r w:rsidRPr="00920E8A">
              <w:rPr>
                <w:rFonts w:ascii="Century" w:eastAsia="Times New Roman" w:hAnsi="Century"/>
                <w:color w:val="auto"/>
              </w:rPr>
              <w:t>2019</w:t>
            </w:r>
          </w:p>
        </w:tc>
        <w:tc>
          <w:tcPr>
            <w:tcW w:w="1276" w:type="dxa"/>
            <w:tcBorders>
              <w:top w:val="nil"/>
              <w:bottom w:val="single" w:sz="4" w:space="0" w:color="auto"/>
            </w:tcBorders>
            <w:shd w:val="clear" w:color="auto" w:fill="auto"/>
            <w:noWrap/>
            <w:vAlign w:val="center"/>
            <w:hideMark/>
          </w:tcPr>
          <w:p w:rsidR="00133BC5" w:rsidRPr="00920E8A" w:rsidRDefault="00133BC5" w:rsidP="00133BC5">
            <w:pPr>
              <w:spacing w:after="0"/>
              <w:contextualSpacing/>
              <w:jc w:val="right"/>
              <w:cnfStyle w:val="100000000000" w:firstRow="1" w:lastRow="0" w:firstColumn="0" w:lastColumn="0" w:oddVBand="0" w:evenVBand="0" w:oddHBand="0" w:evenHBand="0" w:firstRowFirstColumn="0" w:firstRowLastColumn="0" w:lastRowFirstColumn="0" w:lastRowLastColumn="0"/>
              <w:rPr>
                <w:rFonts w:ascii="Century" w:eastAsia="Times New Roman" w:hAnsi="Century"/>
                <w:bCs w:val="0"/>
                <w:color w:val="auto"/>
              </w:rPr>
            </w:pPr>
            <w:r w:rsidRPr="00920E8A">
              <w:rPr>
                <w:rFonts w:ascii="Century" w:eastAsia="Times New Roman" w:hAnsi="Century"/>
                <w:color w:val="auto"/>
              </w:rPr>
              <w:t>2020</w:t>
            </w:r>
          </w:p>
        </w:tc>
        <w:tc>
          <w:tcPr>
            <w:tcW w:w="1276" w:type="dxa"/>
            <w:tcBorders>
              <w:top w:val="nil"/>
              <w:bottom w:val="single" w:sz="4" w:space="0" w:color="auto"/>
            </w:tcBorders>
            <w:shd w:val="clear" w:color="auto" w:fill="auto"/>
            <w:noWrap/>
            <w:vAlign w:val="center"/>
            <w:hideMark/>
          </w:tcPr>
          <w:p w:rsidR="00133BC5" w:rsidRPr="00920E8A" w:rsidRDefault="00133BC5" w:rsidP="00133BC5">
            <w:pPr>
              <w:spacing w:after="0"/>
              <w:contextualSpacing/>
              <w:jc w:val="right"/>
              <w:cnfStyle w:val="100000000000" w:firstRow="1" w:lastRow="0" w:firstColumn="0" w:lastColumn="0" w:oddVBand="0" w:evenVBand="0" w:oddHBand="0" w:evenHBand="0" w:firstRowFirstColumn="0" w:firstRowLastColumn="0" w:lastRowFirstColumn="0" w:lastRowLastColumn="0"/>
              <w:rPr>
                <w:rFonts w:ascii="Century" w:eastAsia="Times New Roman" w:hAnsi="Century"/>
                <w:bCs w:val="0"/>
                <w:color w:val="auto"/>
              </w:rPr>
            </w:pPr>
            <w:r w:rsidRPr="00920E8A">
              <w:rPr>
                <w:rFonts w:ascii="Century" w:eastAsia="Times New Roman" w:hAnsi="Century"/>
                <w:color w:val="auto"/>
              </w:rPr>
              <w:t>2021</w:t>
            </w:r>
          </w:p>
        </w:tc>
      </w:tr>
      <w:tr w:rsidR="00133BC5" w:rsidRPr="00920E8A" w:rsidTr="00133B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auto"/>
              <w:bottom w:val="nil"/>
            </w:tcBorders>
            <w:shd w:val="clear" w:color="auto" w:fill="F2F2F2" w:themeFill="background1" w:themeFillShade="F2"/>
            <w:noWrap/>
            <w:vAlign w:val="center"/>
            <w:hideMark/>
          </w:tcPr>
          <w:p w:rsidR="00133BC5" w:rsidRPr="00641CB9" w:rsidRDefault="00133BC5" w:rsidP="00133BC5">
            <w:pPr>
              <w:spacing w:after="0"/>
              <w:rPr>
                <w:rFonts w:ascii="Century" w:eastAsia="Times New Roman" w:hAnsi="Century"/>
                <w:b w:val="0"/>
                <w:bCs w:val="0"/>
                <w:color w:val="000000"/>
                <w:sz w:val="20"/>
                <w:szCs w:val="20"/>
              </w:rPr>
            </w:pPr>
            <w:r w:rsidRPr="00641CB9">
              <w:rPr>
                <w:rFonts w:ascii="Century" w:eastAsia="Times New Roman" w:hAnsi="Century"/>
                <w:color w:val="000000"/>
                <w:sz w:val="20"/>
                <w:szCs w:val="20"/>
              </w:rPr>
              <w:t>ДОХОДЫ,  ВСЕГО</w:t>
            </w:r>
          </w:p>
        </w:tc>
        <w:tc>
          <w:tcPr>
            <w:tcW w:w="1275" w:type="dxa"/>
            <w:tcBorders>
              <w:top w:val="single" w:sz="4" w:space="0" w:color="auto"/>
              <w:bottom w:val="nil"/>
            </w:tcBorders>
            <w:shd w:val="clear" w:color="auto" w:fill="F2F2F2" w:themeFill="background1" w:themeFillShade="F2"/>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17 072,9</w:t>
            </w:r>
          </w:p>
        </w:tc>
        <w:tc>
          <w:tcPr>
            <w:tcW w:w="1276" w:type="dxa"/>
            <w:tcBorders>
              <w:top w:val="single" w:sz="4" w:space="0" w:color="auto"/>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19 851,3</w:t>
            </w:r>
          </w:p>
        </w:tc>
        <w:tc>
          <w:tcPr>
            <w:tcW w:w="1276" w:type="dxa"/>
            <w:tcBorders>
              <w:top w:val="single" w:sz="4" w:space="0" w:color="auto"/>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20 026,4</w:t>
            </w:r>
          </w:p>
        </w:tc>
        <w:tc>
          <w:tcPr>
            <w:tcW w:w="1276" w:type="dxa"/>
            <w:tcBorders>
              <w:top w:val="single" w:sz="4" w:space="0" w:color="auto"/>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20 549,1</w:t>
            </w:r>
          </w:p>
        </w:tc>
      </w:tr>
      <w:tr w:rsidR="00133BC5" w:rsidRPr="00920E8A" w:rsidTr="00133BC5">
        <w:trPr>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auto"/>
            <w:noWrap/>
            <w:vAlign w:val="center"/>
          </w:tcPr>
          <w:p w:rsidR="00133BC5" w:rsidRPr="00641CB9" w:rsidRDefault="00133BC5" w:rsidP="00133BC5">
            <w:pPr>
              <w:spacing w:after="0"/>
              <w:rPr>
                <w:rFonts w:ascii="Century" w:eastAsia="Times New Roman" w:hAnsi="Century"/>
                <w:b w:val="0"/>
                <w:i/>
                <w:iCs/>
                <w:color w:val="000000"/>
                <w:sz w:val="20"/>
                <w:szCs w:val="20"/>
              </w:rPr>
            </w:pPr>
            <w:r w:rsidRPr="00641CB9">
              <w:rPr>
                <w:rFonts w:ascii="Century" w:eastAsia="Times New Roman" w:hAnsi="Century"/>
                <w:b w:val="0"/>
                <w:i/>
                <w:iCs/>
                <w:color w:val="000000"/>
                <w:sz w:val="20"/>
                <w:szCs w:val="20"/>
              </w:rPr>
              <w:t>%%ВВП</w:t>
            </w:r>
          </w:p>
        </w:tc>
        <w:tc>
          <w:tcPr>
            <w:tcW w:w="1275" w:type="dxa"/>
            <w:tcBorders>
              <w:top w:val="nil"/>
              <w:bottom w:val="nil"/>
            </w:tcBorders>
            <w:shd w:val="clear" w:color="auto" w:fill="auto"/>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iCs/>
                <w:color w:val="000000"/>
                <w:sz w:val="20"/>
                <w:szCs w:val="20"/>
              </w:rPr>
            </w:pPr>
            <w:r w:rsidRPr="00641CB9">
              <w:rPr>
                <w:rFonts w:ascii="Century" w:eastAsia="Times New Roman" w:hAnsi="Century"/>
                <w:i/>
                <w:iCs/>
                <w:color w:val="000000"/>
                <w:sz w:val="20"/>
                <w:szCs w:val="20"/>
              </w:rPr>
              <w:t>17,4</w:t>
            </w:r>
          </w:p>
        </w:tc>
        <w:tc>
          <w:tcPr>
            <w:tcW w:w="1276" w:type="dxa"/>
            <w:tcBorders>
              <w:top w:val="nil"/>
              <w:bottom w:val="nil"/>
            </w:tcBorders>
            <w:shd w:val="clear" w:color="auto" w:fill="auto"/>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iCs/>
                <w:color w:val="000000"/>
                <w:sz w:val="20"/>
                <w:szCs w:val="20"/>
              </w:rPr>
            </w:pPr>
            <w:r w:rsidRPr="00641CB9">
              <w:rPr>
                <w:rFonts w:ascii="Century" w:eastAsia="Times New Roman" w:hAnsi="Century"/>
                <w:i/>
                <w:iCs/>
                <w:color w:val="000000"/>
                <w:sz w:val="20"/>
                <w:szCs w:val="20"/>
              </w:rPr>
              <w:t>18,7</w:t>
            </w:r>
          </w:p>
        </w:tc>
        <w:tc>
          <w:tcPr>
            <w:tcW w:w="1276" w:type="dxa"/>
            <w:tcBorders>
              <w:top w:val="nil"/>
              <w:bottom w:val="nil"/>
            </w:tcBorders>
            <w:shd w:val="clear" w:color="auto" w:fill="auto"/>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iCs/>
                <w:color w:val="000000"/>
                <w:sz w:val="20"/>
                <w:szCs w:val="20"/>
              </w:rPr>
            </w:pPr>
            <w:r w:rsidRPr="00641CB9">
              <w:rPr>
                <w:rFonts w:ascii="Century" w:eastAsia="Times New Roman" w:hAnsi="Century"/>
                <w:i/>
                <w:iCs/>
                <w:color w:val="000000"/>
                <w:sz w:val="20"/>
                <w:szCs w:val="20"/>
              </w:rPr>
              <w:t>18,0</w:t>
            </w:r>
          </w:p>
        </w:tc>
        <w:tc>
          <w:tcPr>
            <w:tcW w:w="1276" w:type="dxa"/>
            <w:tcBorders>
              <w:top w:val="nil"/>
              <w:bottom w:val="nil"/>
            </w:tcBorders>
            <w:shd w:val="clear" w:color="auto" w:fill="auto"/>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iCs/>
                <w:color w:val="000000"/>
                <w:sz w:val="20"/>
                <w:szCs w:val="20"/>
              </w:rPr>
            </w:pPr>
            <w:r w:rsidRPr="00641CB9">
              <w:rPr>
                <w:rFonts w:ascii="Century" w:eastAsia="Times New Roman" w:hAnsi="Century"/>
                <w:i/>
                <w:iCs/>
                <w:color w:val="000000"/>
                <w:sz w:val="20"/>
                <w:szCs w:val="20"/>
              </w:rPr>
              <w:t>17,2</w:t>
            </w:r>
          </w:p>
        </w:tc>
      </w:tr>
      <w:tr w:rsidR="00133BC5" w:rsidRPr="00920E8A" w:rsidTr="00133B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F2F2F2" w:themeFill="background1" w:themeFillShade="F2"/>
            <w:noWrap/>
            <w:vAlign w:val="center"/>
            <w:hideMark/>
          </w:tcPr>
          <w:p w:rsidR="00133BC5" w:rsidRPr="00641CB9" w:rsidRDefault="00133BC5" w:rsidP="00133BC5">
            <w:pPr>
              <w:spacing w:after="0"/>
              <w:rPr>
                <w:rFonts w:ascii="Century" w:eastAsia="Times New Roman" w:hAnsi="Century"/>
                <w:b w:val="0"/>
                <w:bCs w:val="0"/>
                <w:color w:val="000000"/>
                <w:sz w:val="20"/>
                <w:szCs w:val="20"/>
              </w:rPr>
            </w:pPr>
            <w:r w:rsidRPr="00641CB9">
              <w:rPr>
                <w:rFonts w:ascii="Century" w:eastAsia="Times New Roman" w:hAnsi="Century"/>
                <w:color w:val="000000"/>
                <w:sz w:val="20"/>
                <w:szCs w:val="20"/>
              </w:rPr>
              <w:t>НЕФТЕГАЗОВЫЕ ДОХОДЫ</w:t>
            </w:r>
          </w:p>
        </w:tc>
        <w:tc>
          <w:tcPr>
            <w:tcW w:w="1275" w:type="dxa"/>
            <w:tcBorders>
              <w:top w:val="nil"/>
              <w:bottom w:val="nil"/>
            </w:tcBorders>
            <w:shd w:val="clear" w:color="auto" w:fill="F2F2F2" w:themeFill="background1" w:themeFillShade="F2"/>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7 234,9</w:t>
            </w: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8 324,8</w:t>
            </w: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7 911,2</w:t>
            </w: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7 769,2</w:t>
            </w:r>
          </w:p>
        </w:tc>
      </w:tr>
      <w:tr w:rsidR="00133BC5" w:rsidRPr="00920E8A" w:rsidTr="00133BC5">
        <w:trPr>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auto"/>
            <w:noWrap/>
            <w:vAlign w:val="center"/>
          </w:tcPr>
          <w:p w:rsidR="00133BC5" w:rsidRPr="00641CB9" w:rsidRDefault="00133BC5" w:rsidP="00133BC5">
            <w:pPr>
              <w:spacing w:after="0"/>
              <w:rPr>
                <w:rFonts w:ascii="Century" w:eastAsia="Times New Roman" w:hAnsi="Century"/>
                <w:b w:val="0"/>
                <w:i/>
                <w:iCs/>
                <w:color w:val="000000"/>
                <w:sz w:val="20"/>
                <w:szCs w:val="20"/>
              </w:rPr>
            </w:pPr>
            <w:r w:rsidRPr="00641CB9">
              <w:rPr>
                <w:rFonts w:ascii="Century" w:eastAsia="Times New Roman" w:hAnsi="Century"/>
                <w:b w:val="0"/>
                <w:i/>
                <w:iCs/>
                <w:color w:val="000000"/>
                <w:sz w:val="20"/>
                <w:szCs w:val="20"/>
              </w:rPr>
              <w:t>%% ВВП</w:t>
            </w:r>
          </w:p>
        </w:tc>
        <w:tc>
          <w:tcPr>
            <w:tcW w:w="1275" w:type="dxa"/>
            <w:tcBorders>
              <w:top w:val="nil"/>
              <w:bottom w:val="nil"/>
            </w:tcBorders>
            <w:shd w:val="clear" w:color="auto" w:fill="auto"/>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iCs/>
                <w:color w:val="000000"/>
                <w:sz w:val="20"/>
                <w:szCs w:val="20"/>
              </w:rPr>
            </w:pPr>
            <w:r w:rsidRPr="00641CB9">
              <w:rPr>
                <w:rFonts w:ascii="Century" w:eastAsia="Times New Roman" w:hAnsi="Century"/>
                <w:i/>
                <w:iCs/>
                <w:color w:val="000000"/>
                <w:sz w:val="20"/>
                <w:szCs w:val="20"/>
              </w:rPr>
              <w:t>7,4</w:t>
            </w:r>
          </w:p>
        </w:tc>
        <w:tc>
          <w:tcPr>
            <w:tcW w:w="1276" w:type="dxa"/>
            <w:tcBorders>
              <w:top w:val="nil"/>
              <w:bottom w:val="nil"/>
            </w:tcBorders>
            <w:shd w:val="clear" w:color="auto" w:fill="auto"/>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iCs/>
                <w:color w:val="000000"/>
                <w:sz w:val="20"/>
                <w:szCs w:val="20"/>
              </w:rPr>
            </w:pPr>
            <w:r w:rsidRPr="00641CB9">
              <w:rPr>
                <w:rFonts w:ascii="Century" w:eastAsia="Times New Roman" w:hAnsi="Century"/>
                <w:i/>
                <w:iCs/>
                <w:color w:val="000000"/>
                <w:sz w:val="20"/>
                <w:szCs w:val="20"/>
              </w:rPr>
              <w:t>7,8</w:t>
            </w:r>
          </w:p>
        </w:tc>
        <w:tc>
          <w:tcPr>
            <w:tcW w:w="1276" w:type="dxa"/>
            <w:tcBorders>
              <w:top w:val="nil"/>
              <w:bottom w:val="nil"/>
            </w:tcBorders>
            <w:shd w:val="clear" w:color="auto" w:fill="auto"/>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iCs/>
                <w:color w:val="000000"/>
                <w:sz w:val="20"/>
                <w:szCs w:val="20"/>
              </w:rPr>
            </w:pPr>
            <w:r w:rsidRPr="00641CB9">
              <w:rPr>
                <w:rFonts w:ascii="Century" w:eastAsia="Times New Roman" w:hAnsi="Century"/>
                <w:i/>
                <w:iCs/>
                <w:color w:val="000000"/>
                <w:sz w:val="20"/>
                <w:szCs w:val="20"/>
              </w:rPr>
              <w:t>7,1</w:t>
            </w:r>
          </w:p>
        </w:tc>
        <w:tc>
          <w:tcPr>
            <w:tcW w:w="1276" w:type="dxa"/>
            <w:tcBorders>
              <w:top w:val="nil"/>
              <w:bottom w:val="nil"/>
            </w:tcBorders>
            <w:shd w:val="clear" w:color="auto" w:fill="auto"/>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iCs/>
                <w:color w:val="000000"/>
                <w:sz w:val="20"/>
                <w:szCs w:val="20"/>
              </w:rPr>
            </w:pPr>
            <w:r w:rsidRPr="00641CB9">
              <w:rPr>
                <w:rFonts w:ascii="Century" w:eastAsia="Times New Roman" w:hAnsi="Century"/>
                <w:i/>
                <w:iCs/>
                <w:color w:val="000000"/>
                <w:sz w:val="20"/>
                <w:szCs w:val="20"/>
              </w:rPr>
              <w:t>6,5</w:t>
            </w:r>
          </w:p>
        </w:tc>
      </w:tr>
      <w:tr w:rsidR="00133BC5" w:rsidRPr="00920E8A" w:rsidTr="00133B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F2F2F2" w:themeFill="background1" w:themeFillShade="F2"/>
            <w:noWrap/>
            <w:vAlign w:val="center"/>
            <w:hideMark/>
          </w:tcPr>
          <w:p w:rsidR="00133BC5" w:rsidRPr="00641CB9" w:rsidRDefault="00133BC5" w:rsidP="00133BC5">
            <w:pPr>
              <w:spacing w:after="0"/>
              <w:ind w:firstLineChars="100" w:firstLine="200"/>
              <w:rPr>
                <w:rFonts w:ascii="Century" w:eastAsia="Times New Roman" w:hAnsi="Century"/>
                <w:b w:val="0"/>
                <w:i/>
                <w:iCs/>
                <w:color w:val="000000"/>
                <w:sz w:val="20"/>
                <w:szCs w:val="20"/>
              </w:rPr>
            </w:pPr>
            <w:r w:rsidRPr="00641CB9">
              <w:rPr>
                <w:rFonts w:ascii="Century" w:eastAsia="Times New Roman" w:hAnsi="Century"/>
                <w:b w:val="0"/>
                <w:i/>
                <w:iCs/>
                <w:color w:val="000000"/>
                <w:sz w:val="20"/>
                <w:szCs w:val="20"/>
              </w:rPr>
              <w:t>из них:</w:t>
            </w:r>
          </w:p>
        </w:tc>
        <w:tc>
          <w:tcPr>
            <w:tcW w:w="1275" w:type="dxa"/>
            <w:tcBorders>
              <w:top w:val="nil"/>
              <w:bottom w:val="nil"/>
            </w:tcBorders>
            <w:shd w:val="clear" w:color="auto" w:fill="F2F2F2" w:themeFill="background1" w:themeFillShade="F2"/>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p>
        </w:tc>
      </w:tr>
      <w:tr w:rsidR="00133BC5" w:rsidRPr="00920E8A" w:rsidTr="00133BC5">
        <w:trPr>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auto"/>
            <w:noWrap/>
            <w:vAlign w:val="bottom"/>
          </w:tcPr>
          <w:p w:rsidR="00133BC5" w:rsidRPr="00641CB9" w:rsidRDefault="00133BC5" w:rsidP="00133BC5">
            <w:pPr>
              <w:spacing w:after="0"/>
              <w:ind w:left="191"/>
              <w:rPr>
                <w:rFonts w:ascii="Century" w:eastAsia="Times New Roman" w:hAnsi="Century"/>
                <w:b w:val="0"/>
                <w:i/>
                <w:color w:val="000000"/>
                <w:sz w:val="20"/>
                <w:szCs w:val="20"/>
              </w:rPr>
            </w:pPr>
            <w:r w:rsidRPr="00641CB9">
              <w:rPr>
                <w:rFonts w:ascii="Century" w:eastAsia="Times New Roman" w:hAnsi="Century"/>
                <w:b w:val="0"/>
                <w:i/>
                <w:color w:val="000000"/>
                <w:sz w:val="20"/>
                <w:szCs w:val="20"/>
              </w:rPr>
              <w:t xml:space="preserve">завершение налогового маневра  в нефтегазовой отрасли </w:t>
            </w:r>
          </w:p>
        </w:tc>
        <w:tc>
          <w:tcPr>
            <w:tcW w:w="1275" w:type="dxa"/>
            <w:tcBorders>
              <w:top w:val="nil"/>
              <w:bottom w:val="nil"/>
            </w:tcBorders>
            <w:shd w:val="clear" w:color="auto" w:fill="auto"/>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color w:val="000000"/>
                <w:sz w:val="20"/>
                <w:szCs w:val="20"/>
              </w:rPr>
            </w:pPr>
          </w:p>
        </w:tc>
        <w:tc>
          <w:tcPr>
            <w:tcW w:w="1276" w:type="dxa"/>
            <w:tcBorders>
              <w:top w:val="nil"/>
              <w:bottom w:val="nil"/>
            </w:tcBorders>
            <w:shd w:val="clear" w:color="auto" w:fill="auto"/>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color w:val="000000"/>
                <w:sz w:val="20"/>
                <w:szCs w:val="20"/>
              </w:rPr>
            </w:pPr>
            <w:r w:rsidRPr="00641CB9">
              <w:rPr>
                <w:rFonts w:ascii="Century" w:eastAsia="Times New Roman" w:hAnsi="Century"/>
                <w:i/>
                <w:color w:val="000000"/>
                <w:sz w:val="20"/>
                <w:szCs w:val="20"/>
              </w:rPr>
              <w:t>54,8</w:t>
            </w:r>
          </w:p>
        </w:tc>
        <w:tc>
          <w:tcPr>
            <w:tcW w:w="1276" w:type="dxa"/>
            <w:tcBorders>
              <w:top w:val="nil"/>
              <w:bottom w:val="nil"/>
            </w:tcBorders>
            <w:shd w:val="clear" w:color="auto" w:fill="auto"/>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color w:val="000000"/>
                <w:sz w:val="20"/>
                <w:szCs w:val="20"/>
              </w:rPr>
            </w:pPr>
            <w:r w:rsidRPr="00641CB9">
              <w:rPr>
                <w:rFonts w:ascii="Century" w:eastAsia="Times New Roman" w:hAnsi="Century"/>
                <w:i/>
                <w:color w:val="000000"/>
                <w:sz w:val="20"/>
                <w:szCs w:val="20"/>
              </w:rPr>
              <w:t>197,8</w:t>
            </w:r>
          </w:p>
        </w:tc>
        <w:tc>
          <w:tcPr>
            <w:tcW w:w="1276" w:type="dxa"/>
            <w:tcBorders>
              <w:top w:val="nil"/>
              <w:bottom w:val="nil"/>
            </w:tcBorders>
            <w:shd w:val="clear" w:color="auto" w:fill="auto"/>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color w:val="000000"/>
                <w:sz w:val="20"/>
                <w:szCs w:val="20"/>
              </w:rPr>
            </w:pPr>
            <w:r w:rsidRPr="00641CB9">
              <w:rPr>
                <w:rFonts w:ascii="Century" w:eastAsia="Times New Roman" w:hAnsi="Century"/>
                <w:i/>
                <w:color w:val="000000"/>
                <w:sz w:val="20"/>
                <w:szCs w:val="20"/>
              </w:rPr>
              <w:t>299,7</w:t>
            </w:r>
          </w:p>
        </w:tc>
      </w:tr>
      <w:tr w:rsidR="00042AD1" w:rsidRPr="00920E8A" w:rsidTr="00133B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F2F2F2" w:themeFill="background1" w:themeFillShade="F2"/>
            <w:noWrap/>
            <w:vAlign w:val="center"/>
            <w:hideMark/>
          </w:tcPr>
          <w:p w:rsidR="00042AD1" w:rsidRPr="00641CB9" w:rsidRDefault="00042AD1" w:rsidP="00133BC5">
            <w:pPr>
              <w:spacing w:after="0"/>
              <w:rPr>
                <w:rFonts w:ascii="Century" w:eastAsia="Times New Roman" w:hAnsi="Century"/>
                <w:b w:val="0"/>
                <w:bCs w:val="0"/>
                <w:color w:val="000000"/>
                <w:sz w:val="20"/>
                <w:szCs w:val="20"/>
              </w:rPr>
            </w:pPr>
            <w:r w:rsidRPr="00641CB9">
              <w:rPr>
                <w:rFonts w:ascii="Century" w:eastAsia="Times New Roman" w:hAnsi="Century"/>
                <w:color w:val="000000"/>
                <w:sz w:val="20"/>
                <w:szCs w:val="20"/>
              </w:rPr>
              <w:t>Базовые нефтегазовые доходы</w:t>
            </w:r>
          </w:p>
        </w:tc>
        <w:tc>
          <w:tcPr>
            <w:tcW w:w="1275" w:type="dxa"/>
            <w:tcBorders>
              <w:top w:val="nil"/>
              <w:bottom w:val="nil"/>
            </w:tcBorders>
            <w:shd w:val="clear" w:color="auto" w:fill="F2F2F2" w:themeFill="background1" w:themeFillShade="F2"/>
            <w:vAlign w:val="center"/>
          </w:tcPr>
          <w:p w:rsidR="00042AD1" w:rsidRPr="00641CB9" w:rsidRDefault="00042AD1"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hAnsi="Century"/>
                <w:b/>
                <w:color w:val="000000"/>
                <w:sz w:val="20"/>
                <w:szCs w:val="20"/>
              </w:rPr>
              <w:t>4 495,1</w:t>
            </w:r>
          </w:p>
        </w:tc>
        <w:tc>
          <w:tcPr>
            <w:tcW w:w="1276" w:type="dxa"/>
            <w:tcBorders>
              <w:top w:val="nil"/>
              <w:bottom w:val="nil"/>
            </w:tcBorders>
            <w:shd w:val="clear" w:color="auto" w:fill="F2F2F2" w:themeFill="background1" w:themeFillShade="F2"/>
            <w:noWrap/>
            <w:vAlign w:val="center"/>
            <w:hideMark/>
          </w:tcPr>
          <w:p w:rsidR="00042AD1" w:rsidRPr="00042AD1" w:rsidRDefault="00042AD1" w:rsidP="004A614F">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042AD1">
              <w:rPr>
                <w:rFonts w:ascii="Century" w:eastAsia="Times New Roman" w:hAnsi="Century"/>
                <w:b/>
                <w:bCs/>
                <w:color w:val="000000"/>
                <w:sz w:val="20"/>
                <w:szCs w:val="20"/>
              </w:rPr>
              <w:t>4 901,5</w:t>
            </w:r>
          </w:p>
        </w:tc>
        <w:tc>
          <w:tcPr>
            <w:tcW w:w="1276" w:type="dxa"/>
            <w:tcBorders>
              <w:top w:val="nil"/>
              <w:bottom w:val="nil"/>
            </w:tcBorders>
            <w:shd w:val="clear" w:color="auto" w:fill="F2F2F2" w:themeFill="background1" w:themeFillShade="F2"/>
            <w:noWrap/>
            <w:vAlign w:val="center"/>
            <w:hideMark/>
          </w:tcPr>
          <w:p w:rsidR="00042AD1" w:rsidRPr="00042AD1" w:rsidRDefault="00042AD1" w:rsidP="004A614F">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042AD1">
              <w:rPr>
                <w:rFonts w:ascii="Century" w:eastAsia="Times New Roman" w:hAnsi="Century"/>
                <w:b/>
                <w:bCs/>
                <w:color w:val="000000"/>
                <w:sz w:val="20"/>
                <w:szCs w:val="20"/>
              </w:rPr>
              <w:t>5 171,6</w:t>
            </w:r>
          </w:p>
        </w:tc>
        <w:tc>
          <w:tcPr>
            <w:tcW w:w="1276" w:type="dxa"/>
            <w:tcBorders>
              <w:top w:val="nil"/>
              <w:bottom w:val="nil"/>
            </w:tcBorders>
            <w:shd w:val="clear" w:color="auto" w:fill="F2F2F2" w:themeFill="background1" w:themeFillShade="F2"/>
            <w:noWrap/>
            <w:vAlign w:val="center"/>
            <w:hideMark/>
          </w:tcPr>
          <w:p w:rsidR="00042AD1" w:rsidRPr="00042AD1" w:rsidRDefault="00042AD1" w:rsidP="004A614F">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042AD1">
              <w:rPr>
                <w:rFonts w:ascii="Century" w:eastAsia="Times New Roman" w:hAnsi="Century"/>
                <w:b/>
                <w:bCs/>
                <w:color w:val="000000"/>
                <w:sz w:val="20"/>
                <w:szCs w:val="20"/>
              </w:rPr>
              <w:t>5 414,3</w:t>
            </w:r>
          </w:p>
        </w:tc>
      </w:tr>
      <w:tr w:rsidR="00133BC5" w:rsidRPr="00920E8A" w:rsidTr="00133BC5">
        <w:trPr>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auto"/>
            <w:noWrap/>
            <w:vAlign w:val="center"/>
            <w:hideMark/>
          </w:tcPr>
          <w:p w:rsidR="00133BC5" w:rsidRPr="00641CB9" w:rsidRDefault="00133BC5" w:rsidP="00133BC5">
            <w:pPr>
              <w:spacing w:after="0"/>
              <w:ind w:left="191"/>
              <w:rPr>
                <w:rFonts w:ascii="Century" w:eastAsia="Times New Roman" w:hAnsi="Century"/>
                <w:b w:val="0"/>
                <w:bCs w:val="0"/>
                <w:i/>
                <w:color w:val="000000"/>
                <w:sz w:val="20"/>
                <w:szCs w:val="20"/>
              </w:rPr>
            </w:pPr>
            <w:r w:rsidRPr="00641CB9">
              <w:rPr>
                <w:rFonts w:ascii="Century" w:eastAsia="Times New Roman" w:hAnsi="Century"/>
                <w:b w:val="0"/>
                <w:i/>
                <w:color w:val="000000"/>
                <w:sz w:val="20"/>
                <w:szCs w:val="20"/>
              </w:rPr>
              <w:t xml:space="preserve">завершение налогового маневра  в нефтегазовой отрасли </w:t>
            </w:r>
          </w:p>
        </w:tc>
        <w:tc>
          <w:tcPr>
            <w:tcW w:w="1275" w:type="dxa"/>
            <w:tcBorders>
              <w:top w:val="nil"/>
              <w:bottom w:val="nil"/>
            </w:tcBorders>
            <w:shd w:val="clear" w:color="auto" w:fill="auto"/>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bCs/>
                <w:color w:val="000000"/>
                <w:sz w:val="20"/>
                <w:szCs w:val="20"/>
              </w:rPr>
            </w:pPr>
          </w:p>
        </w:tc>
        <w:tc>
          <w:tcPr>
            <w:tcW w:w="1276" w:type="dxa"/>
            <w:tcBorders>
              <w:top w:val="nil"/>
              <w:bottom w:val="nil"/>
            </w:tcBorders>
            <w:shd w:val="clear" w:color="auto" w:fill="auto"/>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bCs/>
                <w:i/>
                <w:color w:val="000000"/>
                <w:sz w:val="20"/>
                <w:szCs w:val="20"/>
              </w:rPr>
            </w:pPr>
            <w:r w:rsidRPr="00641CB9">
              <w:rPr>
                <w:rFonts w:ascii="Century" w:eastAsia="Times New Roman" w:hAnsi="Century"/>
                <w:bCs/>
                <w:i/>
                <w:color w:val="000000"/>
                <w:sz w:val="20"/>
                <w:szCs w:val="20"/>
              </w:rPr>
              <w:t>4,6</w:t>
            </w:r>
          </w:p>
        </w:tc>
        <w:tc>
          <w:tcPr>
            <w:tcW w:w="1276" w:type="dxa"/>
            <w:tcBorders>
              <w:top w:val="nil"/>
              <w:bottom w:val="nil"/>
            </w:tcBorders>
            <w:shd w:val="clear" w:color="auto" w:fill="auto"/>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bCs/>
                <w:i/>
                <w:color w:val="000000"/>
                <w:sz w:val="20"/>
                <w:szCs w:val="20"/>
              </w:rPr>
            </w:pPr>
            <w:r w:rsidRPr="00641CB9">
              <w:rPr>
                <w:rFonts w:ascii="Century" w:eastAsia="Times New Roman" w:hAnsi="Century"/>
                <w:bCs/>
                <w:i/>
                <w:color w:val="000000"/>
                <w:sz w:val="20"/>
                <w:szCs w:val="20"/>
              </w:rPr>
              <w:t>107,8</w:t>
            </w:r>
          </w:p>
        </w:tc>
        <w:tc>
          <w:tcPr>
            <w:tcW w:w="1276" w:type="dxa"/>
            <w:tcBorders>
              <w:top w:val="nil"/>
              <w:bottom w:val="nil"/>
            </w:tcBorders>
            <w:shd w:val="clear" w:color="auto" w:fill="auto"/>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bCs/>
                <w:i/>
                <w:color w:val="000000"/>
                <w:sz w:val="20"/>
                <w:szCs w:val="20"/>
              </w:rPr>
            </w:pPr>
            <w:r w:rsidRPr="00641CB9">
              <w:rPr>
                <w:rFonts w:ascii="Century" w:eastAsia="Times New Roman" w:hAnsi="Century"/>
                <w:bCs/>
                <w:i/>
                <w:color w:val="000000"/>
                <w:sz w:val="20"/>
                <w:szCs w:val="20"/>
              </w:rPr>
              <w:t>182,5</w:t>
            </w:r>
          </w:p>
        </w:tc>
      </w:tr>
      <w:tr w:rsidR="00133BC5" w:rsidRPr="00920E8A" w:rsidTr="00133B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F2F2F2" w:themeFill="background1" w:themeFillShade="F2"/>
            <w:noWrap/>
            <w:vAlign w:val="center"/>
            <w:hideMark/>
          </w:tcPr>
          <w:p w:rsidR="00133BC5" w:rsidRPr="00641CB9" w:rsidRDefault="00133BC5" w:rsidP="00133BC5">
            <w:pPr>
              <w:spacing w:after="0"/>
              <w:rPr>
                <w:rFonts w:ascii="Century" w:eastAsia="Times New Roman" w:hAnsi="Century"/>
                <w:b w:val="0"/>
                <w:bCs w:val="0"/>
                <w:color w:val="000000"/>
                <w:sz w:val="20"/>
                <w:szCs w:val="20"/>
              </w:rPr>
            </w:pPr>
            <w:r w:rsidRPr="00641CB9">
              <w:rPr>
                <w:rFonts w:ascii="Century" w:eastAsia="Times New Roman" w:hAnsi="Century"/>
                <w:color w:val="000000"/>
                <w:sz w:val="20"/>
                <w:szCs w:val="20"/>
              </w:rPr>
              <w:lastRenderedPageBreak/>
              <w:t>НЕНЕФТЕГАЗОВЫЕ ДОХОДЫ</w:t>
            </w:r>
          </w:p>
        </w:tc>
        <w:tc>
          <w:tcPr>
            <w:tcW w:w="1275" w:type="dxa"/>
            <w:tcBorders>
              <w:top w:val="nil"/>
              <w:bottom w:val="nil"/>
            </w:tcBorders>
            <w:shd w:val="clear" w:color="auto" w:fill="F2F2F2" w:themeFill="background1" w:themeFillShade="F2"/>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9 838,0</w:t>
            </w: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11 526,5</w:t>
            </w: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12 115,2</w:t>
            </w: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12 779,9</w:t>
            </w:r>
          </w:p>
        </w:tc>
      </w:tr>
      <w:tr w:rsidR="00133BC5" w:rsidRPr="00920E8A" w:rsidTr="00133BC5">
        <w:trPr>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auto"/>
            <w:noWrap/>
            <w:vAlign w:val="center"/>
            <w:hideMark/>
          </w:tcPr>
          <w:p w:rsidR="00133BC5" w:rsidRPr="00641CB9" w:rsidRDefault="00133BC5" w:rsidP="00133BC5">
            <w:pPr>
              <w:spacing w:after="0"/>
              <w:rPr>
                <w:rFonts w:ascii="Century" w:eastAsia="Times New Roman" w:hAnsi="Century"/>
                <w:b w:val="0"/>
                <w:i/>
                <w:iCs/>
                <w:color w:val="000000"/>
                <w:sz w:val="20"/>
                <w:szCs w:val="20"/>
              </w:rPr>
            </w:pPr>
            <w:r w:rsidRPr="00641CB9">
              <w:rPr>
                <w:rFonts w:ascii="Century" w:eastAsia="Times New Roman" w:hAnsi="Century"/>
                <w:b w:val="0"/>
                <w:i/>
                <w:iCs/>
                <w:color w:val="000000"/>
                <w:sz w:val="20"/>
                <w:szCs w:val="20"/>
              </w:rPr>
              <w:t>%% ВВП</w:t>
            </w:r>
          </w:p>
        </w:tc>
        <w:tc>
          <w:tcPr>
            <w:tcW w:w="1275" w:type="dxa"/>
            <w:tcBorders>
              <w:top w:val="nil"/>
              <w:bottom w:val="nil"/>
            </w:tcBorders>
            <w:shd w:val="clear" w:color="auto" w:fill="auto"/>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iCs/>
                <w:color w:val="000000"/>
                <w:sz w:val="20"/>
                <w:szCs w:val="20"/>
              </w:rPr>
            </w:pPr>
            <w:r w:rsidRPr="00641CB9">
              <w:rPr>
                <w:rFonts w:ascii="Century" w:eastAsia="Times New Roman" w:hAnsi="Century"/>
                <w:i/>
                <w:iCs/>
                <w:color w:val="000000"/>
                <w:sz w:val="20"/>
                <w:szCs w:val="20"/>
              </w:rPr>
              <w:t>10,0</w:t>
            </w:r>
          </w:p>
        </w:tc>
        <w:tc>
          <w:tcPr>
            <w:tcW w:w="1276" w:type="dxa"/>
            <w:tcBorders>
              <w:top w:val="nil"/>
              <w:bottom w:val="nil"/>
            </w:tcBorders>
            <w:shd w:val="clear" w:color="auto" w:fill="auto"/>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iCs/>
                <w:color w:val="000000"/>
                <w:sz w:val="20"/>
                <w:szCs w:val="20"/>
              </w:rPr>
            </w:pPr>
            <w:r w:rsidRPr="00641CB9">
              <w:rPr>
                <w:rFonts w:ascii="Century" w:eastAsia="Times New Roman" w:hAnsi="Century"/>
                <w:i/>
                <w:iCs/>
                <w:color w:val="000000"/>
                <w:sz w:val="20"/>
                <w:szCs w:val="20"/>
              </w:rPr>
              <w:t>10,9</w:t>
            </w:r>
          </w:p>
        </w:tc>
        <w:tc>
          <w:tcPr>
            <w:tcW w:w="1276" w:type="dxa"/>
            <w:tcBorders>
              <w:top w:val="nil"/>
              <w:bottom w:val="nil"/>
            </w:tcBorders>
            <w:shd w:val="clear" w:color="auto" w:fill="auto"/>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iCs/>
                <w:color w:val="000000"/>
                <w:sz w:val="20"/>
                <w:szCs w:val="20"/>
              </w:rPr>
            </w:pPr>
            <w:r w:rsidRPr="00641CB9">
              <w:rPr>
                <w:rFonts w:ascii="Century" w:eastAsia="Times New Roman" w:hAnsi="Century"/>
                <w:i/>
                <w:iCs/>
                <w:color w:val="000000"/>
                <w:sz w:val="20"/>
                <w:szCs w:val="20"/>
              </w:rPr>
              <w:t>10,9</w:t>
            </w:r>
          </w:p>
        </w:tc>
        <w:tc>
          <w:tcPr>
            <w:tcW w:w="1276" w:type="dxa"/>
            <w:tcBorders>
              <w:top w:val="nil"/>
              <w:bottom w:val="nil"/>
            </w:tcBorders>
            <w:shd w:val="clear" w:color="auto" w:fill="auto"/>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iCs/>
                <w:color w:val="000000"/>
                <w:sz w:val="20"/>
                <w:szCs w:val="20"/>
              </w:rPr>
            </w:pPr>
            <w:r w:rsidRPr="00641CB9">
              <w:rPr>
                <w:rFonts w:ascii="Century" w:eastAsia="Times New Roman" w:hAnsi="Century"/>
                <w:i/>
                <w:iCs/>
                <w:color w:val="000000"/>
                <w:sz w:val="20"/>
                <w:szCs w:val="20"/>
              </w:rPr>
              <w:t>10,7</w:t>
            </w:r>
          </w:p>
        </w:tc>
      </w:tr>
      <w:tr w:rsidR="00133BC5" w:rsidRPr="00920E8A" w:rsidTr="00133B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F2F2F2" w:themeFill="background1" w:themeFillShade="F2"/>
            <w:noWrap/>
            <w:vAlign w:val="center"/>
            <w:hideMark/>
          </w:tcPr>
          <w:p w:rsidR="00133BC5" w:rsidRPr="00641CB9" w:rsidRDefault="00133BC5" w:rsidP="00133BC5">
            <w:pPr>
              <w:spacing w:after="0"/>
              <w:rPr>
                <w:rFonts w:ascii="Century" w:eastAsia="Times New Roman" w:hAnsi="Century"/>
                <w:b w:val="0"/>
                <w:bCs w:val="0"/>
                <w:iCs/>
                <w:color w:val="000000"/>
                <w:sz w:val="20"/>
                <w:szCs w:val="20"/>
              </w:rPr>
            </w:pPr>
            <w:r w:rsidRPr="00641CB9">
              <w:rPr>
                <w:rFonts w:ascii="Century" w:eastAsia="Times New Roman" w:hAnsi="Century"/>
                <w:iCs/>
                <w:color w:val="000000"/>
                <w:sz w:val="20"/>
                <w:szCs w:val="20"/>
              </w:rPr>
              <w:t>Связанные с внутренним производством</w:t>
            </w:r>
          </w:p>
        </w:tc>
        <w:tc>
          <w:tcPr>
            <w:tcW w:w="1275" w:type="dxa"/>
            <w:tcBorders>
              <w:top w:val="nil"/>
              <w:bottom w:val="nil"/>
            </w:tcBorders>
            <w:shd w:val="clear" w:color="auto" w:fill="F2F2F2" w:themeFill="background1" w:themeFillShade="F2"/>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5 173,2</w:t>
            </w: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6 645,0</w:t>
            </w: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6 806,1</w:t>
            </w: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7 027,4</w:t>
            </w:r>
          </w:p>
        </w:tc>
      </w:tr>
      <w:tr w:rsidR="00133BC5" w:rsidRPr="00920E8A" w:rsidTr="00133BC5">
        <w:trPr>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auto"/>
            <w:noWrap/>
            <w:vAlign w:val="center"/>
            <w:hideMark/>
          </w:tcPr>
          <w:p w:rsidR="00133BC5" w:rsidRPr="00641CB9" w:rsidRDefault="00133BC5" w:rsidP="00133BC5">
            <w:pPr>
              <w:spacing w:after="0"/>
              <w:rPr>
                <w:rFonts w:ascii="Century" w:eastAsia="Times New Roman" w:hAnsi="Century"/>
                <w:b w:val="0"/>
                <w:color w:val="000000"/>
                <w:sz w:val="20"/>
                <w:szCs w:val="20"/>
              </w:rPr>
            </w:pPr>
            <w:r w:rsidRPr="00641CB9">
              <w:rPr>
                <w:rFonts w:ascii="Century" w:eastAsia="Times New Roman" w:hAnsi="Century"/>
                <w:b w:val="0"/>
                <w:color w:val="000000"/>
                <w:sz w:val="20"/>
                <w:szCs w:val="20"/>
              </w:rPr>
              <w:t>НДС  на товары, реализуемые на территории Российской Федерации, в т.ч:</w:t>
            </w:r>
          </w:p>
        </w:tc>
        <w:tc>
          <w:tcPr>
            <w:tcW w:w="1275" w:type="dxa"/>
            <w:tcBorders>
              <w:top w:val="nil"/>
              <w:bottom w:val="nil"/>
            </w:tcBorders>
            <w:shd w:val="clear" w:color="auto" w:fill="auto"/>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3 397,6</w:t>
            </w:r>
          </w:p>
        </w:tc>
        <w:tc>
          <w:tcPr>
            <w:tcW w:w="1276" w:type="dxa"/>
            <w:tcBorders>
              <w:top w:val="nil"/>
              <w:bottom w:val="nil"/>
            </w:tcBorders>
            <w:shd w:val="clear" w:color="auto" w:fill="auto"/>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4 174,0</w:t>
            </w:r>
          </w:p>
        </w:tc>
        <w:tc>
          <w:tcPr>
            <w:tcW w:w="1276" w:type="dxa"/>
            <w:tcBorders>
              <w:top w:val="nil"/>
              <w:bottom w:val="nil"/>
            </w:tcBorders>
            <w:shd w:val="clear" w:color="auto" w:fill="auto"/>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4 449,8</w:t>
            </w:r>
          </w:p>
        </w:tc>
        <w:tc>
          <w:tcPr>
            <w:tcW w:w="1276" w:type="dxa"/>
            <w:tcBorders>
              <w:top w:val="nil"/>
              <w:bottom w:val="nil"/>
            </w:tcBorders>
            <w:shd w:val="clear" w:color="auto" w:fill="auto"/>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4 791,8</w:t>
            </w:r>
          </w:p>
        </w:tc>
      </w:tr>
      <w:tr w:rsidR="00133BC5" w:rsidRPr="00920E8A" w:rsidTr="00133B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F2F2F2" w:themeFill="background1" w:themeFillShade="F2"/>
            <w:noWrap/>
            <w:vAlign w:val="bottom"/>
            <w:hideMark/>
          </w:tcPr>
          <w:p w:rsidR="00133BC5" w:rsidRPr="00641CB9" w:rsidRDefault="00133BC5" w:rsidP="00133BC5">
            <w:pPr>
              <w:spacing w:after="0"/>
              <w:ind w:left="191"/>
              <w:rPr>
                <w:rFonts w:ascii="Century" w:eastAsia="Times New Roman" w:hAnsi="Century"/>
                <w:b w:val="0"/>
                <w:i/>
                <w:color w:val="000000"/>
                <w:sz w:val="20"/>
                <w:szCs w:val="20"/>
              </w:rPr>
            </w:pPr>
            <w:r w:rsidRPr="00641CB9">
              <w:rPr>
                <w:rFonts w:ascii="Century" w:eastAsia="Times New Roman" w:hAnsi="Century"/>
                <w:b w:val="0"/>
                <w:i/>
                <w:color w:val="000000"/>
                <w:sz w:val="20"/>
                <w:szCs w:val="20"/>
              </w:rPr>
              <w:t>повышение ставки НДС с 18% до 20%</w:t>
            </w:r>
          </w:p>
        </w:tc>
        <w:tc>
          <w:tcPr>
            <w:tcW w:w="1275" w:type="dxa"/>
            <w:tcBorders>
              <w:top w:val="nil"/>
              <w:bottom w:val="nil"/>
            </w:tcBorders>
            <w:shd w:val="clear" w:color="auto" w:fill="F2F2F2" w:themeFill="background1" w:themeFillShade="F2"/>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i/>
                <w:color w:val="000000"/>
                <w:sz w:val="20"/>
                <w:szCs w:val="20"/>
              </w:rPr>
            </w:pP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i/>
                <w:color w:val="000000"/>
                <w:sz w:val="20"/>
                <w:szCs w:val="20"/>
              </w:rPr>
            </w:pPr>
            <w:r w:rsidRPr="00641CB9">
              <w:rPr>
                <w:rFonts w:ascii="Century" w:hAnsi="Century"/>
                <w:color w:val="000000"/>
                <w:sz w:val="20"/>
                <w:szCs w:val="20"/>
              </w:rPr>
              <w:t>349,8</w:t>
            </w: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i/>
                <w:color w:val="000000"/>
                <w:sz w:val="20"/>
                <w:szCs w:val="20"/>
              </w:rPr>
            </w:pPr>
            <w:r w:rsidRPr="00641CB9">
              <w:rPr>
                <w:rFonts w:ascii="Century" w:hAnsi="Century"/>
                <w:color w:val="000000"/>
                <w:sz w:val="20"/>
                <w:szCs w:val="20"/>
              </w:rPr>
              <w:t>374,3</w:t>
            </w:r>
          </w:p>
        </w:tc>
        <w:tc>
          <w:tcPr>
            <w:tcW w:w="1276" w:type="dxa"/>
            <w:tcBorders>
              <w:top w:val="nil"/>
              <w:bottom w:val="nil"/>
            </w:tcBorders>
            <w:shd w:val="clear" w:color="auto" w:fill="F2F2F2" w:themeFill="background1" w:themeFillShade="F2"/>
            <w:noWrap/>
            <w:vAlign w:val="center"/>
            <w:hideMark/>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i/>
                <w:color w:val="000000"/>
                <w:sz w:val="20"/>
                <w:szCs w:val="20"/>
              </w:rPr>
            </w:pPr>
            <w:r w:rsidRPr="00641CB9">
              <w:rPr>
                <w:rFonts w:ascii="Century" w:hAnsi="Century"/>
                <w:color w:val="000000"/>
                <w:sz w:val="20"/>
                <w:szCs w:val="20"/>
              </w:rPr>
              <w:t>404,9</w:t>
            </w:r>
          </w:p>
        </w:tc>
      </w:tr>
      <w:tr w:rsidR="00133BC5" w:rsidRPr="00920E8A" w:rsidTr="00133BC5">
        <w:trPr>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auto"/>
            <w:noWrap/>
            <w:vAlign w:val="center"/>
            <w:hideMark/>
          </w:tcPr>
          <w:p w:rsidR="00133BC5" w:rsidRPr="00641CB9" w:rsidRDefault="00133BC5" w:rsidP="00133BC5">
            <w:pPr>
              <w:spacing w:after="0"/>
              <w:rPr>
                <w:rFonts w:ascii="Century" w:eastAsia="Times New Roman" w:hAnsi="Century"/>
                <w:color w:val="000000"/>
                <w:sz w:val="20"/>
                <w:szCs w:val="20"/>
              </w:rPr>
            </w:pPr>
            <w:r w:rsidRPr="00641CB9">
              <w:rPr>
                <w:rFonts w:ascii="Century" w:eastAsia="Times New Roman" w:hAnsi="Century"/>
                <w:color w:val="000000"/>
                <w:sz w:val="20"/>
                <w:szCs w:val="20"/>
              </w:rPr>
              <w:t>Акцизы на производимые товары, в т.ч.:</w:t>
            </w:r>
          </w:p>
        </w:tc>
        <w:tc>
          <w:tcPr>
            <w:tcW w:w="1275" w:type="dxa"/>
            <w:tcBorders>
              <w:top w:val="nil"/>
              <w:bottom w:val="nil"/>
            </w:tcBorders>
            <w:shd w:val="clear" w:color="auto" w:fill="auto"/>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933,0</w:t>
            </w:r>
          </w:p>
        </w:tc>
        <w:tc>
          <w:tcPr>
            <w:tcW w:w="1276" w:type="dxa"/>
            <w:tcBorders>
              <w:top w:val="nil"/>
              <w:bottom w:val="nil"/>
            </w:tcBorders>
            <w:shd w:val="clear" w:color="auto" w:fill="auto"/>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970,4</w:t>
            </w:r>
          </w:p>
        </w:tc>
        <w:tc>
          <w:tcPr>
            <w:tcW w:w="1276" w:type="dxa"/>
            <w:tcBorders>
              <w:top w:val="nil"/>
              <w:bottom w:val="nil"/>
            </w:tcBorders>
            <w:shd w:val="clear" w:color="auto" w:fill="auto"/>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943,2</w:t>
            </w:r>
          </w:p>
        </w:tc>
        <w:tc>
          <w:tcPr>
            <w:tcW w:w="1276" w:type="dxa"/>
            <w:tcBorders>
              <w:top w:val="nil"/>
              <w:bottom w:val="nil"/>
            </w:tcBorders>
            <w:shd w:val="clear" w:color="auto" w:fill="auto"/>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900,6</w:t>
            </w:r>
          </w:p>
        </w:tc>
      </w:tr>
      <w:tr w:rsidR="00133BC5" w:rsidRPr="00920E8A" w:rsidTr="00133B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F2F2F2" w:themeFill="background1" w:themeFillShade="F2"/>
            <w:noWrap/>
            <w:vAlign w:val="center"/>
          </w:tcPr>
          <w:p w:rsidR="00133BC5" w:rsidRPr="00641CB9" w:rsidRDefault="00133BC5" w:rsidP="00133BC5">
            <w:pPr>
              <w:spacing w:after="0"/>
              <w:ind w:left="191"/>
              <w:rPr>
                <w:rFonts w:ascii="Century" w:eastAsia="Times New Roman" w:hAnsi="Century"/>
                <w:b w:val="0"/>
                <w:i/>
                <w:color w:val="000000"/>
                <w:sz w:val="20"/>
                <w:szCs w:val="20"/>
              </w:rPr>
            </w:pPr>
            <w:r w:rsidRPr="00641CB9">
              <w:rPr>
                <w:rFonts w:ascii="Century" w:eastAsia="Times New Roman" w:hAnsi="Century"/>
                <w:b w:val="0"/>
                <w:i/>
                <w:color w:val="000000"/>
                <w:sz w:val="20"/>
                <w:szCs w:val="20"/>
              </w:rPr>
              <w:t>повышение норматива зачисления акцизов на крепкий алкоголь в бюджеты субъектов РФ</w:t>
            </w:r>
          </w:p>
        </w:tc>
        <w:tc>
          <w:tcPr>
            <w:tcW w:w="1275" w:type="dxa"/>
            <w:tcBorders>
              <w:top w:val="nil"/>
              <w:bottom w:val="nil"/>
            </w:tcBorders>
            <w:shd w:val="clear" w:color="auto" w:fill="F2F2F2" w:themeFill="background1" w:themeFillShade="F2"/>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i/>
                <w:color w:val="000000"/>
                <w:sz w:val="20"/>
                <w:szCs w:val="20"/>
              </w:rPr>
            </w:pPr>
          </w:p>
        </w:tc>
        <w:tc>
          <w:tcPr>
            <w:tcW w:w="1276" w:type="dxa"/>
            <w:tcBorders>
              <w:top w:val="nil"/>
              <w:bottom w:val="nil"/>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i/>
                <w:color w:val="000000"/>
                <w:sz w:val="20"/>
                <w:szCs w:val="20"/>
              </w:rPr>
            </w:pPr>
            <w:r w:rsidRPr="00641CB9">
              <w:rPr>
                <w:rFonts w:ascii="Century" w:eastAsia="Times New Roman" w:hAnsi="Century"/>
                <w:i/>
                <w:color w:val="000000"/>
                <w:sz w:val="20"/>
                <w:szCs w:val="20"/>
              </w:rPr>
              <w:t>-57,3</w:t>
            </w:r>
          </w:p>
        </w:tc>
        <w:tc>
          <w:tcPr>
            <w:tcW w:w="1276" w:type="dxa"/>
            <w:tcBorders>
              <w:top w:val="nil"/>
              <w:bottom w:val="nil"/>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i/>
                <w:color w:val="000000"/>
                <w:sz w:val="20"/>
                <w:szCs w:val="20"/>
              </w:rPr>
            </w:pPr>
            <w:r w:rsidRPr="00641CB9">
              <w:rPr>
                <w:rFonts w:ascii="Century" w:eastAsia="Times New Roman" w:hAnsi="Century"/>
                <w:i/>
                <w:color w:val="000000"/>
                <w:sz w:val="20"/>
                <w:szCs w:val="20"/>
              </w:rPr>
              <w:t>-60,6</w:t>
            </w:r>
          </w:p>
        </w:tc>
        <w:tc>
          <w:tcPr>
            <w:tcW w:w="1276" w:type="dxa"/>
            <w:tcBorders>
              <w:top w:val="nil"/>
              <w:bottom w:val="nil"/>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i/>
                <w:color w:val="000000"/>
                <w:sz w:val="20"/>
                <w:szCs w:val="20"/>
              </w:rPr>
            </w:pPr>
            <w:r w:rsidRPr="00641CB9">
              <w:rPr>
                <w:rFonts w:ascii="Century" w:eastAsia="Times New Roman" w:hAnsi="Century"/>
                <w:i/>
                <w:color w:val="000000"/>
                <w:sz w:val="20"/>
                <w:szCs w:val="20"/>
              </w:rPr>
              <w:t>-63,9</w:t>
            </w:r>
          </w:p>
        </w:tc>
      </w:tr>
      <w:tr w:rsidR="00133BC5" w:rsidRPr="00920E8A" w:rsidTr="00133BC5">
        <w:trPr>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FFFFFF" w:themeFill="background1"/>
            <w:noWrap/>
            <w:vAlign w:val="center"/>
          </w:tcPr>
          <w:p w:rsidR="00133BC5" w:rsidRPr="00641CB9" w:rsidRDefault="00133BC5" w:rsidP="00133BC5">
            <w:pPr>
              <w:spacing w:after="0"/>
              <w:ind w:left="191"/>
              <w:rPr>
                <w:rFonts w:ascii="Century" w:eastAsia="Times New Roman" w:hAnsi="Century"/>
                <w:b w:val="0"/>
                <w:i/>
                <w:color w:val="000000"/>
                <w:sz w:val="20"/>
                <w:szCs w:val="20"/>
              </w:rPr>
            </w:pPr>
            <w:r w:rsidRPr="00641CB9">
              <w:rPr>
                <w:rFonts w:ascii="Century" w:eastAsia="Times New Roman" w:hAnsi="Century"/>
                <w:b w:val="0"/>
                <w:i/>
                <w:color w:val="000000"/>
                <w:sz w:val="20"/>
                <w:szCs w:val="20"/>
              </w:rPr>
              <w:t>поэтапная  передача акцизов на нефтепродукты в  бюджеты</w:t>
            </w:r>
            <w:r>
              <w:rPr>
                <w:rFonts w:ascii="Century" w:eastAsia="Times New Roman" w:hAnsi="Century"/>
                <w:b w:val="0"/>
                <w:i/>
                <w:color w:val="000000"/>
                <w:sz w:val="20"/>
                <w:szCs w:val="20"/>
              </w:rPr>
              <w:t xml:space="preserve"> субъектов Российской Федерации</w:t>
            </w:r>
          </w:p>
        </w:tc>
        <w:tc>
          <w:tcPr>
            <w:tcW w:w="1275" w:type="dxa"/>
            <w:tcBorders>
              <w:top w:val="nil"/>
              <w:bottom w:val="nil"/>
            </w:tcBorders>
            <w:shd w:val="clear" w:color="auto" w:fill="FFFFFF" w:themeFill="background1"/>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color w:val="000000"/>
                <w:sz w:val="20"/>
                <w:szCs w:val="20"/>
              </w:rPr>
            </w:pPr>
          </w:p>
        </w:tc>
        <w:tc>
          <w:tcPr>
            <w:tcW w:w="1276" w:type="dxa"/>
            <w:tcBorders>
              <w:top w:val="nil"/>
              <w:bottom w:val="nil"/>
            </w:tcBorders>
            <w:shd w:val="clear" w:color="auto" w:fill="FFFFFF" w:themeFill="background1"/>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color w:val="000000"/>
                <w:sz w:val="20"/>
                <w:szCs w:val="20"/>
              </w:rPr>
            </w:pPr>
          </w:p>
        </w:tc>
        <w:tc>
          <w:tcPr>
            <w:tcW w:w="1276" w:type="dxa"/>
            <w:tcBorders>
              <w:top w:val="nil"/>
              <w:bottom w:val="nil"/>
            </w:tcBorders>
            <w:shd w:val="clear" w:color="auto" w:fill="FFFFFF" w:themeFill="background1"/>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color w:val="000000"/>
                <w:sz w:val="20"/>
                <w:szCs w:val="20"/>
              </w:rPr>
            </w:pPr>
            <w:r w:rsidRPr="00641CB9">
              <w:rPr>
                <w:rFonts w:ascii="Century" w:eastAsia="Times New Roman" w:hAnsi="Century"/>
                <w:i/>
                <w:color w:val="000000"/>
                <w:sz w:val="20"/>
                <w:szCs w:val="20"/>
              </w:rPr>
              <w:t>-56,2</w:t>
            </w:r>
          </w:p>
        </w:tc>
        <w:tc>
          <w:tcPr>
            <w:tcW w:w="1276" w:type="dxa"/>
            <w:tcBorders>
              <w:top w:val="nil"/>
              <w:bottom w:val="nil"/>
            </w:tcBorders>
            <w:shd w:val="clear" w:color="auto" w:fill="FFFFFF" w:themeFill="background1"/>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i/>
                <w:color w:val="000000"/>
                <w:sz w:val="20"/>
                <w:szCs w:val="20"/>
              </w:rPr>
            </w:pPr>
            <w:r w:rsidRPr="00641CB9">
              <w:rPr>
                <w:rFonts w:ascii="Century" w:eastAsia="Times New Roman" w:hAnsi="Century"/>
                <w:i/>
                <w:color w:val="000000"/>
                <w:sz w:val="20"/>
                <w:szCs w:val="20"/>
              </w:rPr>
              <w:t>-120,3</w:t>
            </w:r>
          </w:p>
        </w:tc>
      </w:tr>
      <w:tr w:rsidR="00133BC5" w:rsidRPr="00920E8A" w:rsidTr="00133B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F2F2F2" w:themeFill="background1" w:themeFillShade="F2"/>
            <w:noWrap/>
            <w:vAlign w:val="center"/>
          </w:tcPr>
          <w:p w:rsidR="00133BC5" w:rsidRPr="00641CB9" w:rsidRDefault="00133BC5" w:rsidP="00133BC5">
            <w:pPr>
              <w:spacing w:after="0"/>
              <w:rPr>
                <w:rFonts w:ascii="Century" w:eastAsia="Times New Roman" w:hAnsi="Century"/>
                <w:b w:val="0"/>
                <w:color w:val="000000"/>
                <w:sz w:val="20"/>
                <w:szCs w:val="20"/>
              </w:rPr>
            </w:pPr>
            <w:r w:rsidRPr="00641CB9">
              <w:rPr>
                <w:rFonts w:ascii="Century" w:eastAsia="Times New Roman" w:hAnsi="Century"/>
                <w:b w:val="0"/>
                <w:color w:val="000000"/>
                <w:sz w:val="20"/>
                <w:szCs w:val="20"/>
              </w:rPr>
              <w:t>Налог на прибыль</w:t>
            </w:r>
          </w:p>
        </w:tc>
        <w:tc>
          <w:tcPr>
            <w:tcW w:w="1275" w:type="dxa"/>
            <w:tcBorders>
              <w:top w:val="nil"/>
              <w:bottom w:val="nil"/>
            </w:tcBorders>
            <w:shd w:val="clear" w:color="auto" w:fill="F2F2F2" w:themeFill="background1" w:themeFillShade="F2"/>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842,6</w:t>
            </w:r>
          </w:p>
        </w:tc>
        <w:tc>
          <w:tcPr>
            <w:tcW w:w="1276" w:type="dxa"/>
            <w:tcBorders>
              <w:top w:val="nil"/>
              <w:bottom w:val="nil"/>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924,4</w:t>
            </w:r>
          </w:p>
        </w:tc>
        <w:tc>
          <w:tcPr>
            <w:tcW w:w="1276" w:type="dxa"/>
            <w:tcBorders>
              <w:top w:val="nil"/>
              <w:bottom w:val="nil"/>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952,5</w:t>
            </w:r>
          </w:p>
        </w:tc>
        <w:tc>
          <w:tcPr>
            <w:tcW w:w="1276" w:type="dxa"/>
            <w:tcBorders>
              <w:top w:val="nil"/>
              <w:bottom w:val="nil"/>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1 006,0</w:t>
            </w:r>
          </w:p>
        </w:tc>
      </w:tr>
      <w:tr w:rsidR="00133BC5" w:rsidRPr="00920E8A" w:rsidTr="00133BC5">
        <w:trPr>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FFFFFF" w:themeFill="background1"/>
            <w:noWrap/>
            <w:vAlign w:val="center"/>
          </w:tcPr>
          <w:p w:rsidR="00133BC5" w:rsidRPr="00641CB9" w:rsidRDefault="00133BC5" w:rsidP="00133BC5">
            <w:pPr>
              <w:spacing w:after="0"/>
              <w:rPr>
                <w:rFonts w:ascii="Century" w:eastAsia="Times New Roman" w:hAnsi="Century"/>
                <w:b w:val="0"/>
                <w:bCs w:val="0"/>
                <w:iCs/>
                <w:color w:val="000000"/>
                <w:sz w:val="20"/>
                <w:szCs w:val="20"/>
              </w:rPr>
            </w:pPr>
            <w:r w:rsidRPr="00641CB9">
              <w:rPr>
                <w:rFonts w:ascii="Century" w:eastAsia="Times New Roman" w:hAnsi="Century"/>
                <w:iCs/>
                <w:color w:val="000000"/>
                <w:sz w:val="20"/>
                <w:szCs w:val="20"/>
              </w:rPr>
              <w:t>Связанные с импортом</w:t>
            </w:r>
          </w:p>
        </w:tc>
        <w:tc>
          <w:tcPr>
            <w:tcW w:w="1275" w:type="dxa"/>
            <w:tcBorders>
              <w:top w:val="nil"/>
              <w:bottom w:val="nil"/>
            </w:tcBorders>
            <w:shd w:val="clear" w:color="auto" w:fill="FFFFFF" w:themeFill="background1"/>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3 061,8</w:t>
            </w:r>
          </w:p>
        </w:tc>
        <w:tc>
          <w:tcPr>
            <w:tcW w:w="1276" w:type="dxa"/>
            <w:tcBorders>
              <w:top w:val="nil"/>
              <w:bottom w:val="nil"/>
            </w:tcBorders>
            <w:shd w:val="clear" w:color="auto" w:fill="FFFFFF" w:themeFill="background1"/>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3 474,9</w:t>
            </w:r>
          </w:p>
        </w:tc>
        <w:tc>
          <w:tcPr>
            <w:tcW w:w="1276" w:type="dxa"/>
            <w:tcBorders>
              <w:top w:val="nil"/>
              <w:bottom w:val="nil"/>
            </w:tcBorders>
            <w:shd w:val="clear" w:color="auto" w:fill="FFFFFF" w:themeFill="background1"/>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3 687,8</w:t>
            </w:r>
          </w:p>
        </w:tc>
        <w:tc>
          <w:tcPr>
            <w:tcW w:w="1276" w:type="dxa"/>
            <w:tcBorders>
              <w:top w:val="nil"/>
              <w:bottom w:val="nil"/>
            </w:tcBorders>
            <w:shd w:val="clear" w:color="auto" w:fill="FFFFFF" w:themeFill="background1"/>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3 917,2</w:t>
            </w:r>
          </w:p>
        </w:tc>
      </w:tr>
      <w:tr w:rsidR="00133BC5" w:rsidRPr="00920E8A" w:rsidTr="00133B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077" w:type="dxa"/>
            <w:tcBorders>
              <w:top w:val="nil"/>
              <w:bottom w:val="nil"/>
            </w:tcBorders>
            <w:shd w:val="clear" w:color="auto" w:fill="F2F2F2" w:themeFill="background1" w:themeFillShade="F2"/>
            <w:noWrap/>
            <w:vAlign w:val="center"/>
          </w:tcPr>
          <w:p w:rsidR="00133BC5" w:rsidRPr="00641CB9" w:rsidRDefault="00133BC5" w:rsidP="00133BC5">
            <w:pPr>
              <w:spacing w:after="0"/>
              <w:rPr>
                <w:rFonts w:ascii="Century" w:eastAsia="Times New Roman" w:hAnsi="Century"/>
                <w:b w:val="0"/>
                <w:color w:val="000000"/>
                <w:sz w:val="20"/>
                <w:szCs w:val="20"/>
              </w:rPr>
            </w:pPr>
            <w:r w:rsidRPr="00641CB9">
              <w:rPr>
                <w:rFonts w:ascii="Century" w:eastAsia="Times New Roman" w:hAnsi="Century"/>
                <w:b w:val="0"/>
                <w:color w:val="000000"/>
                <w:sz w:val="20"/>
                <w:szCs w:val="20"/>
              </w:rPr>
              <w:t>НДС на ввозимые товары  в т.ч.:</w:t>
            </w:r>
          </w:p>
        </w:tc>
        <w:tc>
          <w:tcPr>
            <w:tcW w:w="1275" w:type="dxa"/>
            <w:tcBorders>
              <w:top w:val="nil"/>
              <w:bottom w:val="nil"/>
            </w:tcBorders>
            <w:shd w:val="clear" w:color="auto" w:fill="F2F2F2" w:themeFill="background1" w:themeFillShade="F2"/>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2 391,8</w:t>
            </w:r>
          </w:p>
        </w:tc>
        <w:tc>
          <w:tcPr>
            <w:tcW w:w="1276" w:type="dxa"/>
            <w:tcBorders>
              <w:top w:val="nil"/>
              <w:bottom w:val="nil"/>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2 702,9</w:t>
            </w:r>
          </w:p>
        </w:tc>
        <w:tc>
          <w:tcPr>
            <w:tcW w:w="1276" w:type="dxa"/>
            <w:tcBorders>
              <w:top w:val="nil"/>
              <w:bottom w:val="nil"/>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2 889,3</w:t>
            </w:r>
          </w:p>
        </w:tc>
        <w:tc>
          <w:tcPr>
            <w:tcW w:w="1276" w:type="dxa"/>
            <w:tcBorders>
              <w:top w:val="nil"/>
              <w:bottom w:val="nil"/>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3 071,3</w:t>
            </w:r>
          </w:p>
        </w:tc>
      </w:tr>
      <w:tr w:rsidR="00133BC5" w:rsidRPr="00920E8A" w:rsidTr="00133BC5">
        <w:trPr>
          <w:trHeight w:val="80"/>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FFFFFF" w:themeColor="background1"/>
              <w:bottom w:val="single" w:sz="4" w:space="0" w:color="FFFFFF" w:themeColor="background1"/>
            </w:tcBorders>
            <w:shd w:val="clear" w:color="auto" w:fill="FFFFFF" w:themeFill="background1"/>
            <w:noWrap/>
            <w:vAlign w:val="center"/>
            <w:hideMark/>
          </w:tcPr>
          <w:p w:rsidR="00133BC5" w:rsidRPr="00641CB9" w:rsidRDefault="00133BC5" w:rsidP="00133BC5">
            <w:pPr>
              <w:spacing w:after="0"/>
              <w:ind w:left="191"/>
              <w:rPr>
                <w:rFonts w:ascii="Century" w:eastAsia="Times New Roman" w:hAnsi="Century"/>
                <w:b w:val="0"/>
                <w:color w:val="000000"/>
                <w:sz w:val="20"/>
                <w:szCs w:val="20"/>
              </w:rPr>
            </w:pPr>
            <w:r w:rsidRPr="00641CB9">
              <w:rPr>
                <w:rFonts w:ascii="Century" w:eastAsia="Times New Roman" w:hAnsi="Century"/>
                <w:b w:val="0"/>
                <w:i/>
                <w:color w:val="000000"/>
                <w:sz w:val="20"/>
                <w:szCs w:val="20"/>
              </w:rPr>
              <w:t>повышение ставки НДС с 18% до 20%</w:t>
            </w:r>
          </w:p>
        </w:tc>
        <w:tc>
          <w:tcPr>
            <w:tcW w:w="1275" w:type="dxa"/>
            <w:tcBorders>
              <w:top w:val="single" w:sz="4" w:space="0" w:color="FFFFFF" w:themeColor="background1"/>
              <w:bottom w:val="single" w:sz="4" w:space="0" w:color="FFFFFF" w:themeColor="background1"/>
            </w:tcBorders>
            <w:shd w:val="clear" w:color="auto" w:fill="FFFFFF" w:themeFill="background1"/>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p>
        </w:tc>
        <w:tc>
          <w:tcPr>
            <w:tcW w:w="1276" w:type="dxa"/>
            <w:tcBorders>
              <w:top w:val="single" w:sz="4" w:space="0" w:color="FFFFFF" w:themeColor="background1"/>
              <w:bottom w:val="single" w:sz="4" w:space="0" w:color="FFFFFF" w:themeColor="background1"/>
            </w:tcBorders>
            <w:shd w:val="clear" w:color="auto" w:fill="FFFFFF" w:themeFill="background1"/>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hAnsi="Century"/>
                <w:color w:val="000000"/>
                <w:sz w:val="20"/>
                <w:szCs w:val="20"/>
              </w:rPr>
              <w:t>283,7</w:t>
            </w:r>
          </w:p>
        </w:tc>
        <w:tc>
          <w:tcPr>
            <w:tcW w:w="1276" w:type="dxa"/>
            <w:tcBorders>
              <w:top w:val="single" w:sz="4" w:space="0" w:color="FFFFFF" w:themeColor="background1"/>
              <w:bottom w:val="single" w:sz="4" w:space="0" w:color="FFFFFF" w:themeColor="background1"/>
            </w:tcBorders>
            <w:shd w:val="clear" w:color="auto" w:fill="FFFFFF" w:themeFill="background1"/>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hAnsi="Century"/>
                <w:color w:val="000000"/>
                <w:sz w:val="20"/>
                <w:szCs w:val="20"/>
              </w:rPr>
              <w:t>303,9</w:t>
            </w:r>
          </w:p>
        </w:tc>
        <w:tc>
          <w:tcPr>
            <w:tcW w:w="1276" w:type="dxa"/>
            <w:tcBorders>
              <w:top w:val="single" w:sz="4" w:space="0" w:color="FFFFFF" w:themeColor="background1"/>
              <w:bottom w:val="single" w:sz="4" w:space="0" w:color="FFFFFF" w:themeColor="background1"/>
            </w:tcBorders>
            <w:shd w:val="clear" w:color="auto" w:fill="FFFFFF" w:themeFill="background1"/>
            <w:noWrap/>
            <w:vAlign w:val="center"/>
            <w:hideMark/>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hAnsi="Century"/>
                <w:color w:val="000000"/>
                <w:sz w:val="20"/>
                <w:szCs w:val="20"/>
              </w:rPr>
              <w:t>323,4</w:t>
            </w:r>
          </w:p>
        </w:tc>
      </w:tr>
      <w:tr w:rsidR="00133BC5" w:rsidRPr="00920E8A" w:rsidTr="00133BC5">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FFFFFF" w:themeColor="background1"/>
              <w:bottom w:val="single" w:sz="4" w:space="0" w:color="FFFFFF" w:themeColor="background1"/>
            </w:tcBorders>
            <w:shd w:val="clear" w:color="auto" w:fill="F2F2F2" w:themeFill="background1" w:themeFillShade="F2"/>
            <w:noWrap/>
            <w:vAlign w:val="center"/>
          </w:tcPr>
          <w:p w:rsidR="00133BC5" w:rsidRPr="00641CB9" w:rsidRDefault="00133BC5" w:rsidP="00133BC5">
            <w:pPr>
              <w:spacing w:after="0"/>
              <w:rPr>
                <w:rFonts w:ascii="Century" w:eastAsia="Times New Roman" w:hAnsi="Century"/>
                <w:b w:val="0"/>
                <w:color w:val="000000"/>
                <w:sz w:val="20"/>
                <w:szCs w:val="20"/>
              </w:rPr>
            </w:pPr>
            <w:r w:rsidRPr="00641CB9">
              <w:rPr>
                <w:rFonts w:ascii="Century" w:eastAsia="Times New Roman" w:hAnsi="Century"/>
                <w:b w:val="0"/>
                <w:color w:val="000000"/>
                <w:sz w:val="20"/>
                <w:szCs w:val="20"/>
              </w:rPr>
              <w:t>Акцизы на ввозимые товары</w:t>
            </w:r>
          </w:p>
        </w:tc>
        <w:tc>
          <w:tcPr>
            <w:tcW w:w="1275" w:type="dxa"/>
            <w:tcBorders>
              <w:top w:val="single" w:sz="4" w:space="0" w:color="FFFFFF" w:themeColor="background1"/>
              <w:bottom w:val="single" w:sz="4" w:space="0" w:color="FFFFFF" w:themeColor="background1"/>
            </w:tcBorders>
            <w:shd w:val="clear" w:color="auto" w:fill="F2F2F2" w:themeFill="background1" w:themeFillShade="F2"/>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91,2</w:t>
            </w:r>
          </w:p>
        </w:tc>
        <w:tc>
          <w:tcPr>
            <w:tcW w:w="1276" w:type="dxa"/>
            <w:tcBorders>
              <w:top w:val="single" w:sz="4" w:space="0" w:color="FFFFFF" w:themeColor="background1"/>
              <w:bottom w:val="single" w:sz="4" w:space="0" w:color="FFFFFF" w:themeColor="background1"/>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115,1</w:t>
            </w:r>
          </w:p>
        </w:tc>
        <w:tc>
          <w:tcPr>
            <w:tcW w:w="1276" w:type="dxa"/>
            <w:tcBorders>
              <w:top w:val="single" w:sz="4" w:space="0" w:color="FFFFFF" w:themeColor="background1"/>
              <w:bottom w:val="single" w:sz="4" w:space="0" w:color="FFFFFF" w:themeColor="background1"/>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123,8</w:t>
            </w:r>
          </w:p>
        </w:tc>
        <w:tc>
          <w:tcPr>
            <w:tcW w:w="1276" w:type="dxa"/>
            <w:tcBorders>
              <w:top w:val="single" w:sz="4" w:space="0" w:color="FFFFFF" w:themeColor="background1"/>
              <w:bottom w:val="single" w:sz="4" w:space="0" w:color="FFFFFF" w:themeColor="background1"/>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130,6</w:t>
            </w:r>
          </w:p>
        </w:tc>
      </w:tr>
      <w:tr w:rsidR="00133BC5" w:rsidRPr="00920E8A" w:rsidTr="00133BC5">
        <w:trPr>
          <w:trHeight w:val="80"/>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FFFFFF" w:themeColor="background1"/>
              <w:bottom w:val="single" w:sz="4" w:space="0" w:color="FFFFFF" w:themeColor="background1"/>
            </w:tcBorders>
            <w:shd w:val="clear" w:color="auto" w:fill="FFFFFF" w:themeFill="background1"/>
            <w:noWrap/>
            <w:vAlign w:val="center"/>
          </w:tcPr>
          <w:p w:rsidR="00133BC5" w:rsidRPr="00641CB9" w:rsidRDefault="00133BC5" w:rsidP="00133BC5">
            <w:pPr>
              <w:spacing w:after="0"/>
              <w:rPr>
                <w:rFonts w:ascii="Century" w:eastAsia="Times New Roman" w:hAnsi="Century"/>
                <w:b w:val="0"/>
                <w:color w:val="000000"/>
                <w:sz w:val="20"/>
                <w:szCs w:val="20"/>
              </w:rPr>
            </w:pPr>
            <w:r w:rsidRPr="00641CB9">
              <w:rPr>
                <w:rFonts w:ascii="Century" w:eastAsia="Times New Roman" w:hAnsi="Century"/>
                <w:b w:val="0"/>
                <w:color w:val="000000"/>
                <w:sz w:val="20"/>
                <w:szCs w:val="20"/>
              </w:rPr>
              <w:t>Ввозные таможенные пошлины</w:t>
            </w:r>
          </w:p>
        </w:tc>
        <w:tc>
          <w:tcPr>
            <w:tcW w:w="1275" w:type="dxa"/>
            <w:tcBorders>
              <w:top w:val="single" w:sz="4" w:space="0" w:color="FFFFFF" w:themeColor="background1"/>
              <w:bottom w:val="single" w:sz="4" w:space="0" w:color="FFFFFF" w:themeColor="background1"/>
            </w:tcBorders>
            <w:shd w:val="clear" w:color="auto" w:fill="FFFFFF" w:themeFill="background1"/>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578,8</w:t>
            </w:r>
          </w:p>
        </w:tc>
        <w:tc>
          <w:tcPr>
            <w:tcW w:w="1276" w:type="dxa"/>
            <w:tcBorders>
              <w:top w:val="single" w:sz="4" w:space="0" w:color="FFFFFF" w:themeColor="background1"/>
              <w:bottom w:val="single" w:sz="4" w:space="0" w:color="FFFFFF" w:themeColor="background1"/>
            </w:tcBorders>
            <w:shd w:val="clear" w:color="auto" w:fill="FFFFFF" w:themeFill="background1"/>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656,9</w:t>
            </w:r>
          </w:p>
        </w:tc>
        <w:tc>
          <w:tcPr>
            <w:tcW w:w="1276" w:type="dxa"/>
            <w:tcBorders>
              <w:top w:val="single" w:sz="4" w:space="0" w:color="FFFFFF" w:themeColor="background1"/>
              <w:bottom w:val="single" w:sz="4" w:space="0" w:color="FFFFFF" w:themeColor="background1"/>
            </w:tcBorders>
            <w:shd w:val="clear" w:color="auto" w:fill="FFFFFF" w:themeFill="background1"/>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674,7</w:t>
            </w:r>
          </w:p>
        </w:tc>
        <w:tc>
          <w:tcPr>
            <w:tcW w:w="1276" w:type="dxa"/>
            <w:tcBorders>
              <w:top w:val="single" w:sz="4" w:space="0" w:color="FFFFFF" w:themeColor="background1"/>
              <w:bottom w:val="single" w:sz="4" w:space="0" w:color="FFFFFF" w:themeColor="background1"/>
            </w:tcBorders>
            <w:shd w:val="clear" w:color="auto" w:fill="FFFFFF" w:themeFill="background1"/>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715,3</w:t>
            </w:r>
          </w:p>
        </w:tc>
      </w:tr>
      <w:tr w:rsidR="00133BC5" w:rsidRPr="00920E8A" w:rsidTr="00133BC5">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FFFFFF" w:themeColor="background1"/>
              <w:bottom w:val="single" w:sz="4" w:space="0" w:color="FFFFFF" w:themeColor="background1"/>
            </w:tcBorders>
            <w:shd w:val="clear" w:color="auto" w:fill="F2F2F2" w:themeFill="background1" w:themeFillShade="F2"/>
            <w:noWrap/>
            <w:vAlign w:val="center"/>
          </w:tcPr>
          <w:p w:rsidR="00133BC5" w:rsidRPr="00641CB9" w:rsidRDefault="00133BC5" w:rsidP="00133BC5">
            <w:pPr>
              <w:spacing w:after="0"/>
              <w:rPr>
                <w:rFonts w:ascii="Century" w:eastAsia="Times New Roman" w:hAnsi="Century"/>
                <w:b w:val="0"/>
                <w:bCs w:val="0"/>
                <w:iCs/>
                <w:color w:val="000000"/>
                <w:sz w:val="20"/>
                <w:szCs w:val="20"/>
              </w:rPr>
            </w:pPr>
            <w:r w:rsidRPr="00641CB9">
              <w:rPr>
                <w:rFonts w:ascii="Century" w:eastAsia="Times New Roman" w:hAnsi="Century"/>
                <w:iCs/>
                <w:color w:val="000000"/>
                <w:sz w:val="20"/>
                <w:szCs w:val="20"/>
              </w:rPr>
              <w:t>Прочие доходы, в т.ч.:</w:t>
            </w:r>
          </w:p>
        </w:tc>
        <w:tc>
          <w:tcPr>
            <w:tcW w:w="1275" w:type="dxa"/>
            <w:tcBorders>
              <w:top w:val="single" w:sz="4" w:space="0" w:color="FFFFFF" w:themeColor="background1"/>
              <w:bottom w:val="single" w:sz="4" w:space="0" w:color="FFFFFF" w:themeColor="background1"/>
            </w:tcBorders>
            <w:shd w:val="clear" w:color="auto" w:fill="F2F2F2" w:themeFill="background1" w:themeFillShade="F2"/>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1 603,0</w:t>
            </w:r>
          </w:p>
        </w:tc>
        <w:tc>
          <w:tcPr>
            <w:tcW w:w="1276" w:type="dxa"/>
            <w:tcBorders>
              <w:top w:val="single" w:sz="4" w:space="0" w:color="FFFFFF" w:themeColor="background1"/>
              <w:bottom w:val="single" w:sz="4" w:space="0" w:color="FFFFFF" w:themeColor="background1"/>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1 406,6</w:t>
            </w:r>
          </w:p>
        </w:tc>
        <w:tc>
          <w:tcPr>
            <w:tcW w:w="1276" w:type="dxa"/>
            <w:tcBorders>
              <w:top w:val="single" w:sz="4" w:space="0" w:color="FFFFFF" w:themeColor="background1"/>
              <w:bottom w:val="single" w:sz="4" w:space="0" w:color="FFFFFF" w:themeColor="background1"/>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1 621,3</w:t>
            </w:r>
          </w:p>
        </w:tc>
        <w:tc>
          <w:tcPr>
            <w:tcW w:w="1276" w:type="dxa"/>
            <w:tcBorders>
              <w:top w:val="single" w:sz="4" w:space="0" w:color="FFFFFF" w:themeColor="background1"/>
              <w:bottom w:val="single" w:sz="4" w:space="0" w:color="FFFFFF" w:themeColor="background1"/>
            </w:tcBorders>
            <w:shd w:val="clear" w:color="auto" w:fill="F2F2F2" w:themeFill="background1" w:themeFillShade="F2"/>
            <w:noWrap/>
            <w:vAlign w:val="center"/>
          </w:tcPr>
          <w:p w:rsidR="00133BC5" w:rsidRPr="00641CB9" w:rsidRDefault="00133BC5" w:rsidP="00133BC5">
            <w:pPr>
              <w:spacing w:after="0"/>
              <w:jc w:val="right"/>
              <w:cnfStyle w:val="000000100000" w:firstRow="0" w:lastRow="0" w:firstColumn="0" w:lastColumn="0" w:oddVBand="0" w:evenVBand="0" w:oddHBand="1" w:evenHBand="0" w:firstRowFirstColumn="0" w:firstRowLastColumn="0" w:lastRowFirstColumn="0" w:lastRowLastColumn="0"/>
              <w:rPr>
                <w:rFonts w:ascii="Century" w:eastAsia="Times New Roman" w:hAnsi="Century"/>
                <w:b/>
                <w:bCs/>
                <w:color w:val="000000"/>
                <w:sz w:val="20"/>
                <w:szCs w:val="20"/>
              </w:rPr>
            </w:pPr>
            <w:r w:rsidRPr="00641CB9">
              <w:rPr>
                <w:rFonts w:ascii="Century" w:eastAsia="Times New Roman" w:hAnsi="Century"/>
                <w:b/>
                <w:bCs/>
                <w:color w:val="000000"/>
                <w:sz w:val="20"/>
                <w:szCs w:val="20"/>
              </w:rPr>
              <w:t>1 835,3</w:t>
            </w:r>
          </w:p>
        </w:tc>
      </w:tr>
      <w:tr w:rsidR="00133BC5" w:rsidRPr="00920E8A" w:rsidTr="00133BC5">
        <w:trPr>
          <w:trHeight w:val="80"/>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FFFFFF" w:themeColor="background1"/>
              <w:bottom w:val="single" w:sz="8" w:space="0" w:color="000000" w:themeColor="text1"/>
            </w:tcBorders>
            <w:shd w:val="clear" w:color="auto" w:fill="FFFFFF" w:themeFill="background1"/>
            <w:noWrap/>
            <w:vAlign w:val="center"/>
          </w:tcPr>
          <w:p w:rsidR="00133BC5" w:rsidRPr="00641CB9" w:rsidRDefault="00133BC5" w:rsidP="00133BC5">
            <w:pPr>
              <w:spacing w:after="0"/>
              <w:rPr>
                <w:rFonts w:ascii="Century" w:eastAsia="Times New Roman" w:hAnsi="Century"/>
                <w:b w:val="0"/>
                <w:color w:val="000000"/>
                <w:sz w:val="20"/>
                <w:szCs w:val="20"/>
              </w:rPr>
            </w:pPr>
            <w:r w:rsidRPr="00641CB9">
              <w:rPr>
                <w:rFonts w:ascii="Century" w:eastAsia="Times New Roman" w:hAnsi="Century"/>
                <w:b w:val="0"/>
                <w:color w:val="000000"/>
                <w:sz w:val="20"/>
                <w:szCs w:val="20"/>
              </w:rPr>
              <w:t>Дивиденды по акциям компаний с гос</w:t>
            </w:r>
            <w:r>
              <w:rPr>
                <w:rFonts w:ascii="Century" w:eastAsia="Times New Roman" w:hAnsi="Century"/>
                <w:b w:val="0"/>
                <w:color w:val="000000"/>
                <w:sz w:val="20"/>
                <w:szCs w:val="20"/>
              </w:rPr>
              <w:t xml:space="preserve">ударственным </w:t>
            </w:r>
            <w:r w:rsidRPr="00641CB9">
              <w:rPr>
                <w:rFonts w:ascii="Century" w:eastAsia="Times New Roman" w:hAnsi="Century"/>
                <w:b w:val="0"/>
                <w:color w:val="000000"/>
                <w:sz w:val="20"/>
                <w:szCs w:val="20"/>
              </w:rPr>
              <w:t>участием</w:t>
            </w:r>
          </w:p>
        </w:tc>
        <w:tc>
          <w:tcPr>
            <w:tcW w:w="1275" w:type="dxa"/>
            <w:tcBorders>
              <w:top w:val="single" w:sz="4" w:space="0" w:color="FFFFFF" w:themeColor="background1"/>
              <w:bottom w:val="single" w:sz="8" w:space="0" w:color="000000" w:themeColor="text1"/>
            </w:tcBorders>
            <w:shd w:val="clear" w:color="auto" w:fill="FFFFFF" w:themeFill="background1"/>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250,7</w:t>
            </w:r>
          </w:p>
        </w:tc>
        <w:tc>
          <w:tcPr>
            <w:tcW w:w="1276" w:type="dxa"/>
            <w:tcBorders>
              <w:top w:val="single" w:sz="4" w:space="0" w:color="FFFFFF" w:themeColor="background1"/>
              <w:bottom w:val="single" w:sz="8" w:space="0" w:color="000000" w:themeColor="text1"/>
            </w:tcBorders>
            <w:shd w:val="clear" w:color="auto" w:fill="FFFFFF" w:themeFill="background1"/>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542,3</w:t>
            </w:r>
          </w:p>
        </w:tc>
        <w:tc>
          <w:tcPr>
            <w:tcW w:w="1276" w:type="dxa"/>
            <w:tcBorders>
              <w:top w:val="single" w:sz="4" w:space="0" w:color="FFFFFF" w:themeColor="background1"/>
              <w:bottom w:val="single" w:sz="8" w:space="0" w:color="000000" w:themeColor="text1"/>
            </w:tcBorders>
            <w:shd w:val="clear" w:color="auto" w:fill="FFFFFF" w:themeFill="background1"/>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585,9</w:t>
            </w:r>
          </w:p>
        </w:tc>
        <w:tc>
          <w:tcPr>
            <w:tcW w:w="1276" w:type="dxa"/>
            <w:tcBorders>
              <w:top w:val="single" w:sz="4" w:space="0" w:color="FFFFFF" w:themeColor="background1"/>
              <w:bottom w:val="single" w:sz="8" w:space="0" w:color="000000" w:themeColor="text1"/>
            </w:tcBorders>
            <w:shd w:val="clear" w:color="auto" w:fill="FFFFFF" w:themeFill="background1"/>
            <w:noWrap/>
            <w:vAlign w:val="center"/>
          </w:tcPr>
          <w:p w:rsidR="00133BC5" w:rsidRPr="00641CB9" w:rsidRDefault="00133BC5" w:rsidP="00133BC5">
            <w:pPr>
              <w:spacing w:after="0"/>
              <w:jc w:val="right"/>
              <w:cnfStyle w:val="000000000000" w:firstRow="0" w:lastRow="0" w:firstColumn="0" w:lastColumn="0" w:oddVBand="0" w:evenVBand="0" w:oddHBand="0" w:evenHBand="0" w:firstRowFirstColumn="0" w:firstRowLastColumn="0" w:lastRowFirstColumn="0" w:lastRowLastColumn="0"/>
              <w:rPr>
                <w:rFonts w:ascii="Century" w:eastAsia="Times New Roman" w:hAnsi="Century"/>
                <w:color w:val="000000"/>
                <w:sz w:val="20"/>
                <w:szCs w:val="20"/>
              </w:rPr>
            </w:pPr>
            <w:r w:rsidRPr="00641CB9">
              <w:rPr>
                <w:rFonts w:ascii="Century" w:eastAsia="Times New Roman" w:hAnsi="Century"/>
                <w:color w:val="000000"/>
                <w:sz w:val="20"/>
                <w:szCs w:val="20"/>
              </w:rPr>
              <w:t>639,7</w:t>
            </w:r>
          </w:p>
        </w:tc>
      </w:tr>
    </w:tbl>
    <w:p w:rsidR="00133BC5" w:rsidRDefault="00133BC5" w:rsidP="00133BC5">
      <w:pPr>
        <w:spacing w:after="120"/>
        <w:rPr>
          <w:rFonts w:ascii="Times New Roman" w:hAnsi="Times New Roman"/>
          <w:b/>
          <w:sz w:val="24"/>
          <w:szCs w:val="24"/>
        </w:rPr>
      </w:pPr>
    </w:p>
    <w:p w:rsidR="00133BC5" w:rsidRPr="00133BC5" w:rsidRDefault="00133BC5" w:rsidP="00133BC5">
      <w:pPr>
        <w:spacing w:after="120"/>
        <w:rPr>
          <w:rFonts w:ascii="Times New Roman" w:hAnsi="Times New Roman"/>
          <w:b/>
          <w:sz w:val="28"/>
          <w:szCs w:val="24"/>
        </w:rPr>
      </w:pPr>
      <w:r w:rsidRPr="00133BC5">
        <w:rPr>
          <w:rFonts w:ascii="Times New Roman" w:hAnsi="Times New Roman"/>
          <w:b/>
          <w:sz w:val="28"/>
          <w:szCs w:val="24"/>
        </w:rPr>
        <w:t>Расходы федерального бюджета</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sz w:val="24"/>
          <w:szCs w:val="24"/>
        </w:rPr>
        <w:t>Предельные объемы бюджетных ассигнований федерального бюджета по государственным программам и направлениям деятельности, не входящим в государственные программы на 2019-2021 гг., сформированы на основе следующих основных подходов:</w:t>
      </w:r>
    </w:p>
    <w:p w:rsidR="00133BC5" w:rsidRPr="00133BC5" w:rsidRDefault="00133BC5" w:rsidP="006A22F2">
      <w:pPr>
        <w:pStyle w:val="aa"/>
        <w:numPr>
          <w:ilvl w:val="0"/>
          <w:numId w:val="4"/>
        </w:numPr>
        <w:spacing w:after="120"/>
        <w:contextualSpacing w:val="0"/>
        <w:jc w:val="both"/>
        <w:rPr>
          <w:rFonts w:ascii="Times New Roman" w:hAnsi="Times New Roman"/>
          <w:sz w:val="24"/>
          <w:szCs w:val="24"/>
        </w:rPr>
      </w:pPr>
      <w:r w:rsidRPr="00133BC5">
        <w:rPr>
          <w:rFonts w:ascii="Times New Roman" w:hAnsi="Times New Roman"/>
          <w:sz w:val="24"/>
          <w:szCs w:val="24"/>
        </w:rPr>
        <w:t>в качестве «базовых» объемов бюджетных ассигнований федерального бюджета на 2019 - 2020 годы приняты бюджетные ассигнования, утвержденные на 2018-2020 годы Федеральным законом от 5 декабря 2017 года № 362-ФЗ  «О федеральном бюджете на 2018 год и на плановый период 2019 и 2020 годов», на 2021 год на основе бюджетных ассигнований, утвержденных Федеральным законом № 362-ФЗ на 2020 год.</w:t>
      </w:r>
    </w:p>
    <w:p w:rsidR="00133BC5" w:rsidRPr="00133BC5" w:rsidRDefault="00133BC5" w:rsidP="006A22F2">
      <w:pPr>
        <w:pStyle w:val="aa"/>
        <w:numPr>
          <w:ilvl w:val="0"/>
          <w:numId w:val="4"/>
        </w:numPr>
        <w:spacing w:after="120"/>
        <w:ind w:hanging="357"/>
        <w:contextualSpacing w:val="0"/>
        <w:jc w:val="both"/>
        <w:rPr>
          <w:rFonts w:ascii="Times New Roman" w:hAnsi="Times New Roman"/>
          <w:sz w:val="24"/>
          <w:szCs w:val="24"/>
        </w:rPr>
      </w:pPr>
      <w:r w:rsidRPr="00133BC5">
        <w:rPr>
          <w:rFonts w:ascii="Times New Roman" w:hAnsi="Times New Roman"/>
          <w:sz w:val="24"/>
          <w:szCs w:val="24"/>
        </w:rPr>
        <w:t>«базовые» объемы бюджетных ассигнований 2019 – 2021 годов уточнены с учетом:</w:t>
      </w:r>
    </w:p>
    <w:p w:rsidR="00133BC5" w:rsidRPr="00133BC5" w:rsidRDefault="00133BC5" w:rsidP="006A22F2">
      <w:pPr>
        <w:pStyle w:val="aa"/>
        <w:numPr>
          <w:ilvl w:val="1"/>
          <w:numId w:val="4"/>
        </w:numPr>
        <w:spacing w:after="120"/>
        <w:ind w:hanging="357"/>
        <w:contextualSpacing w:val="0"/>
        <w:jc w:val="both"/>
        <w:rPr>
          <w:rFonts w:ascii="Times New Roman" w:hAnsi="Times New Roman"/>
          <w:sz w:val="24"/>
          <w:szCs w:val="24"/>
        </w:rPr>
      </w:pPr>
      <w:r w:rsidRPr="00133BC5">
        <w:rPr>
          <w:rFonts w:ascii="Times New Roman" w:hAnsi="Times New Roman"/>
          <w:sz w:val="24"/>
          <w:szCs w:val="24"/>
        </w:rPr>
        <w:t>уменьшения объемов бюджетных ассигнований по расходным обязательствам ограниченного срока действия, а также в связи с уменьшением контингента получателей;</w:t>
      </w:r>
    </w:p>
    <w:p w:rsidR="00133BC5" w:rsidRPr="00133BC5" w:rsidRDefault="00133BC5" w:rsidP="006A22F2">
      <w:pPr>
        <w:pStyle w:val="aa"/>
        <w:numPr>
          <w:ilvl w:val="1"/>
          <w:numId w:val="4"/>
        </w:numPr>
        <w:spacing w:after="120"/>
        <w:contextualSpacing w:val="0"/>
        <w:jc w:val="both"/>
        <w:rPr>
          <w:rFonts w:ascii="Times New Roman" w:hAnsi="Times New Roman"/>
          <w:sz w:val="24"/>
          <w:szCs w:val="24"/>
        </w:rPr>
      </w:pPr>
      <w:r w:rsidRPr="00133BC5">
        <w:rPr>
          <w:rFonts w:ascii="Times New Roman" w:hAnsi="Times New Roman"/>
          <w:sz w:val="24"/>
          <w:szCs w:val="24"/>
        </w:rPr>
        <w:t xml:space="preserve">увеличения бюджетных ассигнований по мероприятиям «длящегося» характера, возникшим в ходе исполнения федерального бюджета в 2018 году; </w:t>
      </w:r>
    </w:p>
    <w:p w:rsidR="00133BC5" w:rsidRPr="00133BC5" w:rsidRDefault="00133BC5" w:rsidP="006A22F2">
      <w:pPr>
        <w:pStyle w:val="aa"/>
        <w:numPr>
          <w:ilvl w:val="1"/>
          <w:numId w:val="4"/>
        </w:numPr>
        <w:spacing w:after="120"/>
        <w:contextualSpacing w:val="0"/>
        <w:jc w:val="both"/>
        <w:rPr>
          <w:rFonts w:ascii="Times New Roman" w:hAnsi="Times New Roman"/>
          <w:sz w:val="24"/>
          <w:szCs w:val="24"/>
        </w:rPr>
      </w:pPr>
      <w:r w:rsidRPr="00133BC5">
        <w:rPr>
          <w:rFonts w:ascii="Times New Roman" w:hAnsi="Times New Roman"/>
          <w:sz w:val="24"/>
          <w:szCs w:val="24"/>
        </w:rPr>
        <w:lastRenderedPageBreak/>
        <w:t>увеличения бюджетных ассигнований в связи с ежегодной индексацией с 1 января публичных нормативных обязательств на прогнозный уровень инфляции;</w:t>
      </w:r>
    </w:p>
    <w:p w:rsidR="00133BC5" w:rsidRPr="00133BC5" w:rsidRDefault="00133BC5" w:rsidP="006A22F2">
      <w:pPr>
        <w:pStyle w:val="aa"/>
        <w:numPr>
          <w:ilvl w:val="1"/>
          <w:numId w:val="4"/>
        </w:numPr>
        <w:spacing w:after="120"/>
        <w:contextualSpacing w:val="0"/>
        <w:jc w:val="both"/>
        <w:rPr>
          <w:rFonts w:ascii="Times New Roman" w:hAnsi="Times New Roman"/>
          <w:sz w:val="24"/>
          <w:szCs w:val="24"/>
        </w:rPr>
      </w:pPr>
      <w:r w:rsidRPr="00133BC5">
        <w:rPr>
          <w:rFonts w:ascii="Times New Roman" w:hAnsi="Times New Roman"/>
          <w:sz w:val="24"/>
          <w:szCs w:val="24"/>
        </w:rPr>
        <w:t>увеличения бюджетных ассигнований на ежегодное повышение оплаты труда, денежного довольствия военнослужащих и приравненных к ним лиц на прогнозный уровень инфляции;</w:t>
      </w:r>
    </w:p>
    <w:p w:rsidR="00133BC5" w:rsidRPr="00133BC5" w:rsidRDefault="00133BC5" w:rsidP="006A22F2">
      <w:pPr>
        <w:pStyle w:val="aa"/>
        <w:numPr>
          <w:ilvl w:val="1"/>
          <w:numId w:val="4"/>
        </w:numPr>
        <w:spacing w:after="120"/>
        <w:contextualSpacing w:val="0"/>
        <w:jc w:val="both"/>
        <w:rPr>
          <w:rFonts w:ascii="Times New Roman" w:hAnsi="Times New Roman"/>
          <w:sz w:val="24"/>
          <w:szCs w:val="24"/>
        </w:rPr>
      </w:pPr>
      <w:r w:rsidRPr="00133BC5">
        <w:rPr>
          <w:rFonts w:ascii="Times New Roman" w:hAnsi="Times New Roman"/>
          <w:sz w:val="24"/>
          <w:szCs w:val="24"/>
        </w:rPr>
        <w:t>увеличения бюджетных ассигнований на повышение пенсий лицам, уволенным с военной и приравненной к ней службы, на прогнозный уровень инфляции;</w:t>
      </w:r>
    </w:p>
    <w:p w:rsidR="00133BC5" w:rsidRPr="00133BC5" w:rsidRDefault="00133BC5" w:rsidP="006A22F2">
      <w:pPr>
        <w:pStyle w:val="aa"/>
        <w:numPr>
          <w:ilvl w:val="1"/>
          <w:numId w:val="4"/>
        </w:numPr>
        <w:spacing w:after="120"/>
        <w:contextualSpacing w:val="0"/>
        <w:jc w:val="both"/>
        <w:rPr>
          <w:rFonts w:ascii="Times New Roman" w:hAnsi="Times New Roman"/>
          <w:sz w:val="24"/>
          <w:szCs w:val="24"/>
        </w:rPr>
      </w:pPr>
      <w:r w:rsidRPr="00133BC5">
        <w:rPr>
          <w:rFonts w:ascii="Times New Roman" w:hAnsi="Times New Roman"/>
          <w:sz w:val="24"/>
          <w:szCs w:val="24"/>
        </w:rPr>
        <w:t>увеличения бюджетных ассигнований в связи с индексацией в 2020 году с 1 сентября стипендиального фонда для студентов федеральных образовательных учреждений профессионального образования, аспирантов, докторантов, интернов и ординаторов на прогнозный уровень инфляции;</w:t>
      </w:r>
    </w:p>
    <w:p w:rsidR="00133BC5" w:rsidRPr="00133BC5" w:rsidRDefault="00133BC5" w:rsidP="006A22F2">
      <w:pPr>
        <w:pStyle w:val="aa"/>
        <w:numPr>
          <w:ilvl w:val="1"/>
          <w:numId w:val="4"/>
        </w:numPr>
        <w:spacing w:after="120"/>
        <w:contextualSpacing w:val="0"/>
        <w:jc w:val="both"/>
        <w:rPr>
          <w:rFonts w:ascii="Times New Roman" w:hAnsi="Times New Roman"/>
          <w:sz w:val="24"/>
          <w:szCs w:val="24"/>
        </w:rPr>
      </w:pPr>
      <w:r w:rsidRPr="00133BC5">
        <w:rPr>
          <w:rFonts w:ascii="Times New Roman" w:hAnsi="Times New Roman"/>
          <w:sz w:val="24"/>
          <w:szCs w:val="24"/>
        </w:rPr>
        <w:t>уточнение законодательно установленного объема бюджетных ассигнований на предоставление межбюджетных трансфертов, передаваемых из федерального бюджета бюджетам государственных внебюджетных фондов Российской Федерации;</w:t>
      </w:r>
    </w:p>
    <w:p w:rsidR="00133BC5" w:rsidRPr="00133BC5" w:rsidRDefault="00133BC5" w:rsidP="006A22F2">
      <w:pPr>
        <w:pStyle w:val="aa"/>
        <w:numPr>
          <w:ilvl w:val="1"/>
          <w:numId w:val="4"/>
        </w:numPr>
        <w:spacing w:after="120"/>
        <w:contextualSpacing w:val="0"/>
        <w:jc w:val="both"/>
        <w:rPr>
          <w:rFonts w:ascii="Times New Roman" w:hAnsi="Times New Roman"/>
          <w:sz w:val="24"/>
          <w:szCs w:val="24"/>
        </w:rPr>
      </w:pPr>
      <w:r w:rsidRPr="00133BC5">
        <w:rPr>
          <w:rFonts w:ascii="Times New Roman" w:hAnsi="Times New Roman"/>
          <w:sz w:val="24"/>
          <w:szCs w:val="24"/>
        </w:rPr>
        <w:t>изменения бюджетных ассигнований в связи с прогнозируемым среднегодовым курсом доллара США по отношению к рублю;</w:t>
      </w:r>
    </w:p>
    <w:p w:rsidR="00133BC5" w:rsidRPr="00133BC5" w:rsidRDefault="00133BC5" w:rsidP="006A22F2">
      <w:pPr>
        <w:pStyle w:val="aa"/>
        <w:numPr>
          <w:ilvl w:val="1"/>
          <w:numId w:val="4"/>
        </w:numPr>
        <w:spacing w:after="120"/>
        <w:contextualSpacing w:val="0"/>
        <w:jc w:val="both"/>
        <w:rPr>
          <w:rFonts w:ascii="Times New Roman" w:hAnsi="Times New Roman"/>
          <w:sz w:val="24"/>
          <w:szCs w:val="24"/>
        </w:rPr>
      </w:pPr>
      <w:r w:rsidRPr="00133BC5">
        <w:rPr>
          <w:rFonts w:ascii="Times New Roman" w:hAnsi="Times New Roman"/>
          <w:sz w:val="24"/>
          <w:szCs w:val="24"/>
        </w:rPr>
        <w:t>уточнения законодательно установленного объема бюджетных ассигнований Федерального дорожного фонда, а также законодательно установленного объема бюджетных ассигнований, зависящего от объема поступления доходов;</w:t>
      </w:r>
    </w:p>
    <w:p w:rsidR="00133BC5" w:rsidRPr="00133BC5" w:rsidRDefault="00133BC5" w:rsidP="006A22F2">
      <w:pPr>
        <w:pStyle w:val="aa"/>
        <w:numPr>
          <w:ilvl w:val="1"/>
          <w:numId w:val="4"/>
        </w:numPr>
        <w:spacing w:after="120"/>
        <w:contextualSpacing w:val="0"/>
        <w:jc w:val="both"/>
        <w:rPr>
          <w:rFonts w:ascii="Times New Roman" w:hAnsi="Times New Roman"/>
          <w:sz w:val="24"/>
          <w:szCs w:val="24"/>
        </w:rPr>
      </w:pPr>
      <w:r w:rsidRPr="00133BC5">
        <w:rPr>
          <w:rFonts w:ascii="Times New Roman" w:hAnsi="Times New Roman"/>
          <w:sz w:val="24"/>
          <w:szCs w:val="24"/>
        </w:rPr>
        <w:t>уточнение законодательно установленного объема бюджетных ассигнований на обслуживание государственного долга Российской Федерации.</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b/>
          <w:sz w:val="24"/>
          <w:szCs w:val="24"/>
        </w:rPr>
        <w:t>Таблица 4.1.3.</w:t>
      </w:r>
      <w:r w:rsidRPr="00133BC5">
        <w:rPr>
          <w:rFonts w:ascii="Times New Roman" w:hAnsi="Times New Roman"/>
          <w:sz w:val="24"/>
          <w:szCs w:val="24"/>
        </w:rPr>
        <w:t xml:space="preserve"> Расходы федерального бюджета по разделам функциональной классификации в 2018-2021 гг.</w:t>
      </w:r>
    </w:p>
    <w:p w:rsidR="00133BC5" w:rsidRPr="00133BC5" w:rsidRDefault="00133BC5" w:rsidP="00133BC5">
      <w:pPr>
        <w:jc w:val="right"/>
        <w:rPr>
          <w:rFonts w:ascii="Times New Roman" w:hAnsi="Times New Roman"/>
          <w:i/>
          <w:sz w:val="24"/>
        </w:rPr>
      </w:pPr>
      <w:r w:rsidRPr="00133BC5">
        <w:rPr>
          <w:rFonts w:ascii="Times New Roman" w:hAnsi="Times New Roman"/>
          <w:i/>
          <w:sz w:val="24"/>
        </w:rPr>
        <w:t>млрд рублей</w:t>
      </w:r>
    </w:p>
    <w:tbl>
      <w:tblPr>
        <w:tblW w:w="9179" w:type="dxa"/>
        <w:tblLayout w:type="fixed"/>
        <w:tblLook w:val="00A0" w:firstRow="1" w:lastRow="0" w:firstColumn="1" w:lastColumn="0" w:noHBand="0" w:noVBand="0"/>
      </w:tblPr>
      <w:tblGrid>
        <w:gridCol w:w="5211"/>
        <w:gridCol w:w="992"/>
        <w:gridCol w:w="992"/>
        <w:gridCol w:w="992"/>
        <w:gridCol w:w="992"/>
      </w:tblGrid>
      <w:tr w:rsidR="00133BC5" w:rsidRPr="00133BC5" w:rsidTr="006A22F2">
        <w:trPr>
          <w:trHeight w:val="305"/>
        </w:trPr>
        <w:tc>
          <w:tcPr>
            <w:tcW w:w="5211" w:type="dxa"/>
            <w:tcBorders>
              <w:bottom w:val="single" w:sz="4" w:space="0" w:color="auto"/>
            </w:tcBorders>
          </w:tcPr>
          <w:p w:rsidR="00133BC5" w:rsidRPr="006A22F2" w:rsidRDefault="00133BC5" w:rsidP="006A22F2">
            <w:pPr>
              <w:spacing w:after="0"/>
              <w:contextualSpacing/>
              <w:rPr>
                <w:rFonts w:ascii="Century" w:hAnsi="Century"/>
                <w:b/>
                <w:bCs/>
              </w:rPr>
            </w:pPr>
            <w:r w:rsidRPr="006A22F2">
              <w:rPr>
                <w:rFonts w:ascii="Century" w:hAnsi="Century"/>
                <w:b/>
                <w:bCs/>
              </w:rPr>
              <w:t>Показатель</w:t>
            </w:r>
          </w:p>
        </w:tc>
        <w:tc>
          <w:tcPr>
            <w:tcW w:w="992" w:type="dxa"/>
            <w:tcBorders>
              <w:bottom w:val="single" w:sz="4" w:space="0" w:color="auto"/>
            </w:tcBorders>
            <w:vAlign w:val="center"/>
          </w:tcPr>
          <w:p w:rsidR="00133BC5" w:rsidRPr="006A22F2" w:rsidRDefault="00133BC5" w:rsidP="006A22F2">
            <w:pPr>
              <w:spacing w:after="120"/>
              <w:contextualSpacing/>
              <w:jc w:val="center"/>
              <w:rPr>
                <w:rFonts w:ascii="Century" w:hAnsi="Century"/>
                <w:b/>
                <w:bCs/>
              </w:rPr>
            </w:pPr>
            <w:r w:rsidRPr="006A22F2">
              <w:rPr>
                <w:rFonts w:ascii="Century" w:hAnsi="Century"/>
                <w:b/>
                <w:bCs/>
              </w:rPr>
              <w:t>2018</w:t>
            </w:r>
          </w:p>
        </w:tc>
        <w:tc>
          <w:tcPr>
            <w:tcW w:w="992" w:type="dxa"/>
            <w:tcBorders>
              <w:bottom w:val="single" w:sz="4" w:space="0" w:color="auto"/>
            </w:tcBorders>
            <w:vAlign w:val="center"/>
          </w:tcPr>
          <w:p w:rsidR="00133BC5" w:rsidRPr="006A22F2" w:rsidRDefault="00133BC5" w:rsidP="006A22F2">
            <w:pPr>
              <w:spacing w:after="120"/>
              <w:contextualSpacing/>
              <w:jc w:val="center"/>
              <w:rPr>
                <w:rFonts w:ascii="Century" w:hAnsi="Century"/>
                <w:b/>
                <w:bCs/>
              </w:rPr>
            </w:pPr>
            <w:r w:rsidRPr="006A22F2">
              <w:rPr>
                <w:rFonts w:ascii="Century" w:hAnsi="Century"/>
                <w:b/>
                <w:bCs/>
              </w:rPr>
              <w:t>2019</w:t>
            </w:r>
          </w:p>
        </w:tc>
        <w:tc>
          <w:tcPr>
            <w:tcW w:w="992" w:type="dxa"/>
            <w:tcBorders>
              <w:bottom w:val="single" w:sz="4" w:space="0" w:color="auto"/>
            </w:tcBorders>
            <w:vAlign w:val="center"/>
          </w:tcPr>
          <w:p w:rsidR="00133BC5" w:rsidRPr="006A22F2" w:rsidRDefault="00133BC5" w:rsidP="006A22F2">
            <w:pPr>
              <w:spacing w:after="120"/>
              <w:contextualSpacing/>
              <w:jc w:val="center"/>
              <w:rPr>
                <w:rFonts w:ascii="Century" w:hAnsi="Century"/>
                <w:b/>
                <w:bCs/>
              </w:rPr>
            </w:pPr>
            <w:r w:rsidRPr="006A22F2">
              <w:rPr>
                <w:rFonts w:ascii="Century" w:hAnsi="Century"/>
                <w:b/>
                <w:bCs/>
              </w:rPr>
              <w:t>2020</w:t>
            </w:r>
          </w:p>
        </w:tc>
        <w:tc>
          <w:tcPr>
            <w:tcW w:w="992" w:type="dxa"/>
            <w:tcBorders>
              <w:bottom w:val="single" w:sz="4" w:space="0" w:color="auto"/>
            </w:tcBorders>
            <w:vAlign w:val="center"/>
          </w:tcPr>
          <w:p w:rsidR="00133BC5" w:rsidRPr="006A22F2" w:rsidRDefault="00133BC5" w:rsidP="006A22F2">
            <w:pPr>
              <w:spacing w:after="120"/>
              <w:contextualSpacing/>
              <w:jc w:val="center"/>
              <w:rPr>
                <w:rFonts w:ascii="Century" w:hAnsi="Century"/>
                <w:b/>
                <w:bCs/>
              </w:rPr>
            </w:pPr>
            <w:r w:rsidRPr="006A22F2">
              <w:rPr>
                <w:rFonts w:ascii="Century" w:hAnsi="Century"/>
                <w:b/>
                <w:bCs/>
              </w:rPr>
              <w:t>2021</w:t>
            </w:r>
          </w:p>
        </w:tc>
      </w:tr>
      <w:tr w:rsidR="00133BC5" w:rsidRPr="00133BC5" w:rsidTr="00133BC5">
        <w:trPr>
          <w:trHeight w:val="441"/>
        </w:trPr>
        <w:tc>
          <w:tcPr>
            <w:tcW w:w="5211" w:type="dxa"/>
            <w:tcBorders>
              <w:top w:val="single" w:sz="4" w:space="0" w:color="auto"/>
            </w:tcBorders>
            <w:shd w:val="clear" w:color="auto" w:fill="F2F2F2"/>
            <w:vAlign w:val="center"/>
          </w:tcPr>
          <w:p w:rsidR="00133BC5" w:rsidRPr="00133BC5" w:rsidRDefault="00133BC5" w:rsidP="006A22F2">
            <w:pPr>
              <w:spacing w:after="120"/>
              <w:contextualSpacing/>
              <w:rPr>
                <w:rFonts w:ascii="Times New Roman" w:hAnsi="Times New Roman"/>
                <w:b/>
              </w:rPr>
            </w:pPr>
            <w:r w:rsidRPr="00133BC5">
              <w:rPr>
                <w:rFonts w:ascii="Times New Roman" w:hAnsi="Times New Roman"/>
                <w:b/>
              </w:rPr>
              <w:t>Всего*</w:t>
            </w:r>
          </w:p>
        </w:tc>
        <w:tc>
          <w:tcPr>
            <w:tcW w:w="992" w:type="dxa"/>
            <w:tcBorders>
              <w:top w:val="single" w:sz="4" w:space="0" w:color="auto"/>
            </w:tcBorders>
            <w:shd w:val="clear" w:color="auto" w:fill="F2F2F2"/>
            <w:vAlign w:val="center"/>
          </w:tcPr>
          <w:p w:rsidR="00133BC5" w:rsidRPr="00133BC5" w:rsidRDefault="00133BC5" w:rsidP="006A22F2">
            <w:pPr>
              <w:spacing w:after="120"/>
              <w:contextualSpacing/>
              <w:jc w:val="right"/>
              <w:rPr>
                <w:rFonts w:ascii="Times New Roman" w:hAnsi="Times New Roman"/>
                <w:b/>
                <w:bCs/>
                <w:sz w:val="20"/>
                <w:szCs w:val="20"/>
              </w:rPr>
            </w:pPr>
            <w:r w:rsidRPr="00133BC5">
              <w:rPr>
                <w:rFonts w:ascii="Times New Roman" w:hAnsi="Times New Roman"/>
                <w:b/>
                <w:bCs/>
                <w:sz w:val="20"/>
                <w:szCs w:val="20"/>
              </w:rPr>
              <w:t>16 591</w:t>
            </w:r>
          </w:p>
        </w:tc>
        <w:tc>
          <w:tcPr>
            <w:tcW w:w="992" w:type="dxa"/>
            <w:tcBorders>
              <w:top w:val="single" w:sz="4" w:space="0" w:color="auto"/>
            </w:tcBorders>
            <w:shd w:val="clear" w:color="auto" w:fill="F2F2F2"/>
            <w:vAlign w:val="center"/>
          </w:tcPr>
          <w:p w:rsidR="00133BC5" w:rsidRPr="00133BC5" w:rsidRDefault="00133BC5" w:rsidP="006A22F2">
            <w:pPr>
              <w:spacing w:after="120"/>
              <w:contextualSpacing/>
              <w:jc w:val="right"/>
              <w:rPr>
                <w:rFonts w:ascii="Times New Roman" w:hAnsi="Times New Roman"/>
                <w:b/>
                <w:bCs/>
                <w:sz w:val="20"/>
                <w:szCs w:val="20"/>
              </w:rPr>
            </w:pPr>
            <w:r w:rsidRPr="00133BC5">
              <w:rPr>
                <w:rFonts w:ascii="Times New Roman" w:hAnsi="Times New Roman"/>
                <w:b/>
                <w:bCs/>
                <w:sz w:val="20"/>
                <w:szCs w:val="20"/>
              </w:rPr>
              <w:t>17 897</w:t>
            </w:r>
          </w:p>
        </w:tc>
        <w:tc>
          <w:tcPr>
            <w:tcW w:w="992" w:type="dxa"/>
            <w:tcBorders>
              <w:top w:val="single" w:sz="4" w:space="0" w:color="auto"/>
            </w:tcBorders>
            <w:shd w:val="clear" w:color="auto" w:fill="F2F2F2"/>
            <w:vAlign w:val="center"/>
          </w:tcPr>
          <w:p w:rsidR="00133BC5" w:rsidRPr="00133BC5" w:rsidRDefault="00133BC5" w:rsidP="006A22F2">
            <w:pPr>
              <w:spacing w:after="120"/>
              <w:contextualSpacing/>
              <w:jc w:val="right"/>
              <w:rPr>
                <w:rFonts w:ascii="Times New Roman" w:hAnsi="Times New Roman"/>
                <w:b/>
                <w:bCs/>
                <w:sz w:val="20"/>
                <w:szCs w:val="20"/>
              </w:rPr>
            </w:pPr>
            <w:r w:rsidRPr="00133BC5">
              <w:rPr>
                <w:rFonts w:ascii="Times New Roman" w:hAnsi="Times New Roman"/>
                <w:b/>
                <w:bCs/>
                <w:sz w:val="20"/>
                <w:szCs w:val="20"/>
              </w:rPr>
              <w:t>18 873</w:t>
            </w:r>
          </w:p>
        </w:tc>
        <w:tc>
          <w:tcPr>
            <w:tcW w:w="992" w:type="dxa"/>
            <w:tcBorders>
              <w:top w:val="single" w:sz="4" w:space="0" w:color="auto"/>
            </w:tcBorders>
            <w:shd w:val="clear" w:color="auto" w:fill="F2F2F2"/>
            <w:vAlign w:val="center"/>
          </w:tcPr>
          <w:p w:rsidR="00133BC5" w:rsidRPr="00133BC5" w:rsidRDefault="00133BC5" w:rsidP="006A22F2">
            <w:pPr>
              <w:spacing w:after="120"/>
              <w:contextualSpacing/>
              <w:jc w:val="right"/>
              <w:rPr>
                <w:rFonts w:ascii="Times New Roman" w:hAnsi="Times New Roman"/>
                <w:b/>
                <w:bCs/>
                <w:sz w:val="20"/>
                <w:szCs w:val="20"/>
              </w:rPr>
            </w:pPr>
            <w:r w:rsidRPr="00133BC5">
              <w:rPr>
                <w:rFonts w:ascii="Times New Roman" w:hAnsi="Times New Roman"/>
                <w:b/>
                <w:bCs/>
                <w:sz w:val="20"/>
                <w:szCs w:val="20"/>
              </w:rPr>
              <w:t>19 890</w:t>
            </w:r>
          </w:p>
        </w:tc>
      </w:tr>
      <w:tr w:rsidR="00133BC5" w:rsidRPr="00133BC5" w:rsidTr="00133BC5">
        <w:trPr>
          <w:trHeight w:val="429"/>
        </w:trPr>
        <w:tc>
          <w:tcPr>
            <w:tcW w:w="5211" w:type="dxa"/>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Общегосударственные вопросы</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1 297,2</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1 259,5</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1 259,9</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1 297,7</w:t>
            </w:r>
          </w:p>
        </w:tc>
      </w:tr>
      <w:tr w:rsidR="00133BC5" w:rsidRPr="00133BC5" w:rsidTr="00133BC5">
        <w:trPr>
          <w:trHeight w:val="422"/>
        </w:trPr>
        <w:tc>
          <w:tcPr>
            <w:tcW w:w="5211" w:type="dxa"/>
            <w:shd w:val="clear" w:color="auto" w:fill="F2F2F2"/>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Национальная оборона</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2 797,1</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2 783,1</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2 860,0</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2 980,5</w:t>
            </w:r>
          </w:p>
        </w:tc>
      </w:tr>
      <w:tr w:rsidR="00133BC5" w:rsidRPr="00133BC5" w:rsidTr="00133BC5">
        <w:trPr>
          <w:trHeight w:val="567"/>
        </w:trPr>
        <w:tc>
          <w:tcPr>
            <w:tcW w:w="5211" w:type="dxa"/>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Национальная безопасность и правоохранительная деятельность</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2 105,4</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2 181,5</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2 257,5</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2 320,4</w:t>
            </w:r>
          </w:p>
        </w:tc>
      </w:tr>
      <w:tr w:rsidR="00133BC5" w:rsidRPr="00133BC5" w:rsidTr="00133BC5">
        <w:trPr>
          <w:trHeight w:val="432"/>
        </w:trPr>
        <w:tc>
          <w:tcPr>
            <w:tcW w:w="5211" w:type="dxa"/>
            <w:shd w:val="clear" w:color="auto" w:fill="F2F2F2"/>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Национальная экономика</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2 378,5</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2 217,5</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2 170,4</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2 152,3</w:t>
            </w:r>
          </w:p>
        </w:tc>
      </w:tr>
      <w:tr w:rsidR="00133BC5" w:rsidRPr="00133BC5" w:rsidTr="00133BC5">
        <w:trPr>
          <w:trHeight w:val="424"/>
        </w:trPr>
        <w:tc>
          <w:tcPr>
            <w:tcW w:w="5211" w:type="dxa"/>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Жилищно-коммунальное хозяйство</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147,6</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127,9</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122,1</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103,9</w:t>
            </w:r>
          </w:p>
        </w:tc>
      </w:tr>
      <w:tr w:rsidR="00133BC5" w:rsidRPr="00133BC5" w:rsidTr="00133BC5">
        <w:trPr>
          <w:trHeight w:val="429"/>
        </w:trPr>
        <w:tc>
          <w:tcPr>
            <w:tcW w:w="5211" w:type="dxa"/>
            <w:shd w:val="clear" w:color="auto" w:fill="F2F2F2"/>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Охрана окружающей среды</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95,9</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101,3</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104,4</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103,8</w:t>
            </w:r>
          </w:p>
        </w:tc>
      </w:tr>
      <w:tr w:rsidR="00133BC5" w:rsidRPr="00133BC5" w:rsidTr="00133BC5">
        <w:trPr>
          <w:trHeight w:val="407"/>
        </w:trPr>
        <w:tc>
          <w:tcPr>
            <w:tcW w:w="5211" w:type="dxa"/>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Образование</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689,7</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716,4</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707,9</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726,6</w:t>
            </w:r>
          </w:p>
        </w:tc>
      </w:tr>
      <w:tr w:rsidR="00133BC5" w:rsidRPr="00133BC5" w:rsidTr="00133BC5">
        <w:trPr>
          <w:trHeight w:val="427"/>
        </w:trPr>
        <w:tc>
          <w:tcPr>
            <w:tcW w:w="5211" w:type="dxa"/>
            <w:shd w:val="clear" w:color="auto" w:fill="F2F2F2"/>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Культура, кинематография</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103,2</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98,3</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91,4</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88,5</w:t>
            </w:r>
          </w:p>
        </w:tc>
      </w:tr>
      <w:tr w:rsidR="00133BC5" w:rsidRPr="00133BC5" w:rsidTr="00133BC5">
        <w:trPr>
          <w:trHeight w:val="433"/>
        </w:trPr>
        <w:tc>
          <w:tcPr>
            <w:tcW w:w="5211" w:type="dxa"/>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Здравоохранение</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479,7</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459,5</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563,2</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572,5</w:t>
            </w:r>
          </w:p>
        </w:tc>
      </w:tr>
      <w:tr w:rsidR="00133BC5" w:rsidRPr="00133BC5" w:rsidTr="00133BC5">
        <w:trPr>
          <w:trHeight w:val="425"/>
        </w:trPr>
        <w:tc>
          <w:tcPr>
            <w:tcW w:w="5211" w:type="dxa"/>
            <w:shd w:val="clear" w:color="auto" w:fill="F2F2F2"/>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lastRenderedPageBreak/>
              <w:t>Социальная политика</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4 654,6</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4 934,1</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5 050,0</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4 997,4</w:t>
            </w:r>
          </w:p>
        </w:tc>
      </w:tr>
      <w:tr w:rsidR="00133BC5" w:rsidRPr="00133BC5" w:rsidTr="00133BC5">
        <w:trPr>
          <w:trHeight w:val="431"/>
        </w:trPr>
        <w:tc>
          <w:tcPr>
            <w:tcW w:w="5211" w:type="dxa"/>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Физическая культура и спорт</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64,8</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36,7</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39,6</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29,9</w:t>
            </w:r>
          </w:p>
        </w:tc>
      </w:tr>
      <w:tr w:rsidR="00133BC5" w:rsidRPr="00133BC5" w:rsidTr="00133BC5">
        <w:trPr>
          <w:trHeight w:val="424"/>
        </w:trPr>
        <w:tc>
          <w:tcPr>
            <w:tcW w:w="5211" w:type="dxa"/>
            <w:shd w:val="clear" w:color="auto" w:fill="F2F2F2"/>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Средства массовой информации</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84,1</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68,2</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68,4</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68,7</w:t>
            </w:r>
          </w:p>
        </w:tc>
      </w:tr>
      <w:tr w:rsidR="00133BC5" w:rsidRPr="00133BC5" w:rsidTr="00133BC5">
        <w:trPr>
          <w:trHeight w:val="429"/>
        </w:trPr>
        <w:tc>
          <w:tcPr>
            <w:tcW w:w="5211" w:type="dxa"/>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Обслуживание государственного и муниципального долга</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824,3</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884,1</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1 001,3</w:t>
            </w:r>
          </w:p>
        </w:tc>
        <w:tc>
          <w:tcPr>
            <w:tcW w:w="992" w:type="dxa"/>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1 110,8</w:t>
            </w:r>
          </w:p>
        </w:tc>
      </w:tr>
      <w:tr w:rsidR="00133BC5" w:rsidRPr="00133BC5" w:rsidTr="00133BC5">
        <w:trPr>
          <w:trHeight w:val="421"/>
        </w:trPr>
        <w:tc>
          <w:tcPr>
            <w:tcW w:w="5211" w:type="dxa"/>
            <w:shd w:val="clear" w:color="auto" w:fill="F2F2F2"/>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Межбюджетные трансферты общего характера</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869,1</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859,5</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858,1</w:t>
            </w:r>
          </w:p>
        </w:tc>
        <w:tc>
          <w:tcPr>
            <w:tcW w:w="992" w:type="dxa"/>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868,3</w:t>
            </w:r>
          </w:p>
        </w:tc>
      </w:tr>
      <w:tr w:rsidR="00133BC5" w:rsidRPr="00133BC5" w:rsidTr="00133BC5">
        <w:trPr>
          <w:trHeight w:val="421"/>
        </w:trPr>
        <w:tc>
          <w:tcPr>
            <w:tcW w:w="5211" w:type="dxa"/>
            <w:shd w:val="clear" w:color="auto" w:fill="FFFFFF" w:themeFill="background1"/>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 xml:space="preserve">Финансовое обеспечение реализации Указа № 204 </w:t>
            </w:r>
          </w:p>
          <w:p w:rsidR="00133BC5" w:rsidRPr="00133BC5" w:rsidRDefault="00133BC5" w:rsidP="006A22F2">
            <w:pPr>
              <w:spacing w:after="120"/>
              <w:contextualSpacing/>
              <w:rPr>
                <w:rFonts w:ascii="Times New Roman" w:hAnsi="Times New Roman"/>
              </w:rPr>
            </w:pPr>
            <w:r w:rsidRPr="00133BC5">
              <w:rPr>
                <w:rFonts w:ascii="Times New Roman" w:hAnsi="Times New Roman"/>
              </w:rPr>
              <w:t>(в т.ч. национальные проекты)</w:t>
            </w:r>
          </w:p>
        </w:tc>
        <w:tc>
          <w:tcPr>
            <w:tcW w:w="992" w:type="dxa"/>
            <w:shd w:val="clear" w:color="auto" w:fill="FFFFFF" w:themeFill="background1"/>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w:t>
            </w:r>
          </w:p>
        </w:tc>
        <w:tc>
          <w:tcPr>
            <w:tcW w:w="992" w:type="dxa"/>
            <w:shd w:val="clear" w:color="auto" w:fill="FFFFFF" w:themeFill="background1"/>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1 169,5</w:t>
            </w:r>
          </w:p>
        </w:tc>
        <w:tc>
          <w:tcPr>
            <w:tcW w:w="992" w:type="dxa"/>
            <w:shd w:val="clear" w:color="auto" w:fill="FFFFFF" w:themeFill="background1"/>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1 247,1</w:t>
            </w:r>
          </w:p>
        </w:tc>
        <w:tc>
          <w:tcPr>
            <w:tcW w:w="992" w:type="dxa"/>
            <w:shd w:val="clear" w:color="auto" w:fill="FFFFFF" w:themeFill="background1"/>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1 474,1</w:t>
            </w:r>
          </w:p>
        </w:tc>
      </w:tr>
      <w:tr w:rsidR="00133BC5" w:rsidRPr="00133BC5" w:rsidTr="00133BC5">
        <w:trPr>
          <w:trHeight w:val="421"/>
        </w:trPr>
        <w:tc>
          <w:tcPr>
            <w:tcW w:w="5211" w:type="dxa"/>
            <w:tcBorders>
              <w:bottom w:val="single" w:sz="4" w:space="0" w:color="auto"/>
            </w:tcBorders>
            <w:shd w:val="clear" w:color="auto" w:fill="F2F2F2"/>
            <w:vAlign w:val="center"/>
          </w:tcPr>
          <w:p w:rsidR="00133BC5" w:rsidRPr="00133BC5" w:rsidRDefault="00133BC5" w:rsidP="006A22F2">
            <w:pPr>
              <w:spacing w:after="120"/>
              <w:contextualSpacing/>
              <w:rPr>
                <w:rFonts w:ascii="Times New Roman" w:hAnsi="Times New Roman"/>
              </w:rPr>
            </w:pPr>
            <w:r w:rsidRPr="00133BC5">
              <w:rPr>
                <w:rFonts w:ascii="Times New Roman" w:hAnsi="Times New Roman"/>
              </w:rPr>
              <w:t>Условно утвержденные расходы</w:t>
            </w:r>
          </w:p>
        </w:tc>
        <w:tc>
          <w:tcPr>
            <w:tcW w:w="992" w:type="dxa"/>
            <w:tcBorders>
              <w:bottom w:val="single" w:sz="4" w:space="0" w:color="auto"/>
            </w:tcBorders>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w:t>
            </w:r>
          </w:p>
        </w:tc>
        <w:tc>
          <w:tcPr>
            <w:tcW w:w="992" w:type="dxa"/>
            <w:tcBorders>
              <w:bottom w:val="single" w:sz="4" w:space="0" w:color="auto"/>
            </w:tcBorders>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w:t>
            </w:r>
          </w:p>
        </w:tc>
        <w:tc>
          <w:tcPr>
            <w:tcW w:w="992" w:type="dxa"/>
            <w:tcBorders>
              <w:bottom w:val="single" w:sz="4" w:space="0" w:color="auto"/>
            </w:tcBorders>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471,8</w:t>
            </w:r>
          </w:p>
        </w:tc>
        <w:tc>
          <w:tcPr>
            <w:tcW w:w="992" w:type="dxa"/>
            <w:tcBorders>
              <w:bottom w:val="single" w:sz="4" w:space="0" w:color="auto"/>
            </w:tcBorders>
            <w:shd w:val="clear" w:color="auto" w:fill="F2F2F2"/>
            <w:vAlign w:val="center"/>
          </w:tcPr>
          <w:p w:rsidR="00133BC5" w:rsidRPr="00133BC5" w:rsidRDefault="00133BC5" w:rsidP="006A22F2">
            <w:pPr>
              <w:spacing w:after="120"/>
              <w:contextualSpacing/>
              <w:jc w:val="right"/>
              <w:rPr>
                <w:rFonts w:ascii="Times New Roman" w:hAnsi="Times New Roman"/>
                <w:sz w:val="20"/>
                <w:szCs w:val="20"/>
              </w:rPr>
            </w:pPr>
            <w:r w:rsidRPr="00133BC5">
              <w:rPr>
                <w:rFonts w:ascii="Times New Roman" w:hAnsi="Times New Roman"/>
                <w:sz w:val="20"/>
                <w:szCs w:val="20"/>
              </w:rPr>
              <w:t>994,5</w:t>
            </w:r>
          </w:p>
        </w:tc>
      </w:tr>
    </w:tbl>
    <w:p w:rsidR="00133BC5" w:rsidRPr="00133BC5" w:rsidRDefault="00133BC5" w:rsidP="00133BC5">
      <w:pPr>
        <w:rPr>
          <w:rFonts w:ascii="Times New Roman" w:hAnsi="Times New Roman"/>
          <w:i/>
          <w:sz w:val="18"/>
        </w:rPr>
      </w:pPr>
      <w:r w:rsidRPr="00133BC5">
        <w:rPr>
          <w:rFonts w:ascii="Times New Roman" w:hAnsi="Times New Roman"/>
          <w:i/>
          <w:sz w:val="18"/>
        </w:rPr>
        <w:t>* с учетом условно утвержденных расходов в 2020 году</w:t>
      </w:r>
    </w:p>
    <w:p w:rsidR="00133BC5" w:rsidRPr="00133BC5" w:rsidRDefault="00133BC5" w:rsidP="00133BC5">
      <w:pPr>
        <w:spacing w:before="240"/>
        <w:rPr>
          <w:rFonts w:ascii="Times New Roman" w:hAnsi="Times New Roman"/>
          <w:b/>
          <w:sz w:val="28"/>
          <w:szCs w:val="24"/>
        </w:rPr>
      </w:pPr>
      <w:r w:rsidRPr="00133BC5">
        <w:rPr>
          <w:rFonts w:ascii="Times New Roman" w:hAnsi="Times New Roman"/>
          <w:b/>
          <w:sz w:val="28"/>
          <w:szCs w:val="24"/>
        </w:rPr>
        <w:t>Источники финансирования дефицита федерального бюджета</w:t>
      </w:r>
    </w:p>
    <w:p w:rsidR="00133BC5" w:rsidRPr="00133BC5" w:rsidRDefault="00133BC5" w:rsidP="00133BC5">
      <w:pPr>
        <w:spacing w:after="0"/>
        <w:jc w:val="both"/>
        <w:rPr>
          <w:rFonts w:ascii="Times New Roman" w:hAnsi="Times New Roman"/>
          <w:sz w:val="24"/>
          <w:szCs w:val="24"/>
        </w:rPr>
      </w:pPr>
      <w:r w:rsidRPr="00133BC5">
        <w:rPr>
          <w:rFonts w:ascii="Times New Roman" w:hAnsi="Times New Roman"/>
          <w:sz w:val="24"/>
          <w:szCs w:val="24"/>
        </w:rPr>
        <w:t xml:space="preserve">Первичный структурный дефицит федерального бюджета на среднесрочную перспективу закладывается на уровне около 0,5% ВВП. </w:t>
      </w:r>
    </w:p>
    <w:p w:rsidR="00133BC5" w:rsidRPr="00133BC5" w:rsidRDefault="00133BC5" w:rsidP="00133BC5">
      <w:pPr>
        <w:spacing w:after="0"/>
        <w:jc w:val="both"/>
        <w:rPr>
          <w:rFonts w:ascii="Times New Roman" w:hAnsi="Times New Roman"/>
          <w:sz w:val="24"/>
          <w:szCs w:val="24"/>
        </w:rPr>
      </w:pPr>
      <w:r w:rsidRPr="00133BC5">
        <w:rPr>
          <w:rFonts w:ascii="Times New Roman" w:hAnsi="Times New Roman"/>
          <w:sz w:val="24"/>
          <w:szCs w:val="24"/>
        </w:rPr>
        <w:t>Этот ресурс будет использован как элемент так называемого золотого правила, существующего в бюджетной практике и состоящего в том, что дефицит бюджета направляется на создание новых активов, на капитальные вложения, на создание и стимулирование экономики, а не на текущее потребление.</w:t>
      </w:r>
    </w:p>
    <w:p w:rsidR="00133BC5" w:rsidRPr="00133BC5" w:rsidRDefault="00133BC5" w:rsidP="00133BC5">
      <w:pPr>
        <w:spacing w:after="120"/>
        <w:jc w:val="both"/>
        <w:rPr>
          <w:rFonts w:ascii="Times New Roman" w:hAnsi="Times New Roman"/>
          <w:sz w:val="24"/>
          <w:szCs w:val="24"/>
        </w:rPr>
      </w:pPr>
      <w:r w:rsidRPr="00133BC5">
        <w:rPr>
          <w:rFonts w:ascii="Times New Roman" w:hAnsi="Times New Roman"/>
          <w:sz w:val="24"/>
          <w:szCs w:val="24"/>
        </w:rPr>
        <w:t>Основными источниками финансирования дефицита будут выступать внутренние заимствования. Средства Фонда национального благосостояния будут использоваться исключительно в целях софинансирования добровольных пенсионных накоплений граждан Российской Федерации.</w:t>
      </w:r>
    </w:p>
    <w:p w:rsidR="00133BC5" w:rsidRPr="00133BC5" w:rsidRDefault="00133BC5" w:rsidP="00133BC5">
      <w:pPr>
        <w:spacing w:after="0"/>
        <w:jc w:val="both"/>
        <w:rPr>
          <w:rFonts w:ascii="Times New Roman" w:hAnsi="Times New Roman"/>
          <w:sz w:val="24"/>
          <w:szCs w:val="24"/>
        </w:rPr>
      </w:pPr>
      <w:r w:rsidRPr="00133BC5">
        <w:rPr>
          <w:rFonts w:ascii="Times New Roman" w:hAnsi="Times New Roman"/>
          <w:b/>
          <w:sz w:val="24"/>
          <w:szCs w:val="24"/>
        </w:rPr>
        <w:t>Таблица 4.1.4.</w:t>
      </w:r>
      <w:r w:rsidRPr="00133BC5">
        <w:rPr>
          <w:rFonts w:ascii="Times New Roman" w:hAnsi="Times New Roman"/>
          <w:sz w:val="24"/>
          <w:szCs w:val="24"/>
        </w:rPr>
        <w:t xml:space="preserve"> Источники финансирования дефицита федерального бюджета в 2018-</w:t>
      </w:r>
      <w:r w:rsidRPr="00133BC5">
        <w:rPr>
          <w:rFonts w:ascii="Times New Roman" w:hAnsi="Times New Roman"/>
          <w:sz w:val="24"/>
          <w:szCs w:val="24"/>
        </w:rPr>
        <w:br/>
        <w:t>2021 гг.</w:t>
      </w:r>
    </w:p>
    <w:p w:rsidR="00133BC5" w:rsidRPr="00133BC5" w:rsidRDefault="00133BC5" w:rsidP="00133BC5">
      <w:pPr>
        <w:jc w:val="right"/>
        <w:rPr>
          <w:rFonts w:ascii="Times New Roman" w:hAnsi="Times New Roman"/>
          <w:i/>
          <w:sz w:val="24"/>
          <w:szCs w:val="24"/>
        </w:rPr>
      </w:pPr>
      <w:r w:rsidRPr="00133BC5">
        <w:rPr>
          <w:rFonts w:ascii="Times New Roman" w:hAnsi="Times New Roman"/>
          <w:i/>
          <w:sz w:val="24"/>
          <w:szCs w:val="24"/>
        </w:rPr>
        <w:t>млрд рублей</w:t>
      </w:r>
    </w:p>
    <w:tbl>
      <w:tblPr>
        <w:tblW w:w="9179" w:type="dxa"/>
        <w:tblLayout w:type="fixed"/>
        <w:tblLook w:val="00A0" w:firstRow="1" w:lastRow="0" w:firstColumn="1" w:lastColumn="0" w:noHBand="0" w:noVBand="0"/>
      </w:tblPr>
      <w:tblGrid>
        <w:gridCol w:w="5211"/>
        <w:gridCol w:w="992"/>
        <w:gridCol w:w="992"/>
        <w:gridCol w:w="992"/>
        <w:gridCol w:w="992"/>
      </w:tblGrid>
      <w:tr w:rsidR="00133BC5" w:rsidRPr="00920E8A" w:rsidTr="00133BC5">
        <w:trPr>
          <w:trHeight w:val="340"/>
        </w:trPr>
        <w:tc>
          <w:tcPr>
            <w:tcW w:w="5211" w:type="dxa"/>
            <w:tcBorders>
              <w:bottom w:val="single" w:sz="4" w:space="0" w:color="auto"/>
            </w:tcBorders>
          </w:tcPr>
          <w:p w:rsidR="00133BC5" w:rsidRPr="006A22F2" w:rsidRDefault="00133BC5" w:rsidP="00133BC5">
            <w:pPr>
              <w:spacing w:after="0"/>
              <w:contextualSpacing/>
              <w:rPr>
                <w:rFonts w:ascii="Century" w:hAnsi="Century"/>
                <w:b/>
                <w:bCs/>
                <w:szCs w:val="20"/>
              </w:rPr>
            </w:pPr>
            <w:r w:rsidRPr="006A22F2">
              <w:rPr>
                <w:rFonts w:ascii="Century" w:hAnsi="Century"/>
                <w:b/>
                <w:bCs/>
                <w:szCs w:val="20"/>
              </w:rPr>
              <w:t>Показатель</w:t>
            </w:r>
          </w:p>
        </w:tc>
        <w:tc>
          <w:tcPr>
            <w:tcW w:w="992" w:type="dxa"/>
            <w:tcBorders>
              <w:bottom w:val="single" w:sz="4" w:space="0" w:color="auto"/>
            </w:tcBorders>
            <w:vAlign w:val="center"/>
          </w:tcPr>
          <w:p w:rsidR="00133BC5" w:rsidRPr="006A22F2" w:rsidRDefault="00133BC5" w:rsidP="00133BC5">
            <w:pPr>
              <w:spacing w:after="0"/>
              <w:contextualSpacing/>
              <w:jc w:val="center"/>
              <w:rPr>
                <w:rFonts w:ascii="Century" w:hAnsi="Century"/>
                <w:b/>
                <w:bCs/>
                <w:szCs w:val="20"/>
              </w:rPr>
            </w:pPr>
            <w:r w:rsidRPr="006A22F2">
              <w:rPr>
                <w:rFonts w:ascii="Century" w:hAnsi="Century"/>
                <w:b/>
                <w:bCs/>
                <w:szCs w:val="20"/>
              </w:rPr>
              <w:t>2018</w:t>
            </w:r>
          </w:p>
        </w:tc>
        <w:tc>
          <w:tcPr>
            <w:tcW w:w="992" w:type="dxa"/>
            <w:tcBorders>
              <w:bottom w:val="single" w:sz="4" w:space="0" w:color="auto"/>
            </w:tcBorders>
            <w:vAlign w:val="center"/>
          </w:tcPr>
          <w:p w:rsidR="00133BC5" w:rsidRPr="006A22F2" w:rsidRDefault="00133BC5" w:rsidP="00133BC5">
            <w:pPr>
              <w:spacing w:after="0"/>
              <w:contextualSpacing/>
              <w:jc w:val="center"/>
              <w:rPr>
                <w:rFonts w:ascii="Century" w:hAnsi="Century"/>
                <w:b/>
                <w:bCs/>
                <w:szCs w:val="20"/>
              </w:rPr>
            </w:pPr>
            <w:r w:rsidRPr="006A22F2">
              <w:rPr>
                <w:rFonts w:ascii="Century" w:hAnsi="Century"/>
                <w:b/>
                <w:bCs/>
                <w:szCs w:val="20"/>
              </w:rPr>
              <w:t>2019</w:t>
            </w:r>
          </w:p>
        </w:tc>
        <w:tc>
          <w:tcPr>
            <w:tcW w:w="992" w:type="dxa"/>
            <w:tcBorders>
              <w:bottom w:val="single" w:sz="4" w:space="0" w:color="auto"/>
            </w:tcBorders>
            <w:vAlign w:val="center"/>
          </w:tcPr>
          <w:p w:rsidR="00133BC5" w:rsidRPr="006A22F2" w:rsidRDefault="00133BC5" w:rsidP="00133BC5">
            <w:pPr>
              <w:spacing w:after="0"/>
              <w:contextualSpacing/>
              <w:jc w:val="center"/>
              <w:rPr>
                <w:rFonts w:ascii="Century" w:hAnsi="Century"/>
                <w:b/>
                <w:bCs/>
                <w:szCs w:val="20"/>
              </w:rPr>
            </w:pPr>
            <w:r w:rsidRPr="006A22F2">
              <w:rPr>
                <w:rFonts w:ascii="Century" w:hAnsi="Century"/>
                <w:b/>
                <w:bCs/>
                <w:szCs w:val="20"/>
              </w:rPr>
              <w:t>2020</w:t>
            </w:r>
          </w:p>
        </w:tc>
        <w:tc>
          <w:tcPr>
            <w:tcW w:w="992" w:type="dxa"/>
            <w:tcBorders>
              <w:bottom w:val="single" w:sz="4" w:space="0" w:color="auto"/>
            </w:tcBorders>
            <w:vAlign w:val="center"/>
          </w:tcPr>
          <w:p w:rsidR="00133BC5" w:rsidRPr="006A22F2" w:rsidRDefault="00133BC5" w:rsidP="00133BC5">
            <w:pPr>
              <w:spacing w:after="0"/>
              <w:contextualSpacing/>
              <w:jc w:val="center"/>
              <w:rPr>
                <w:rFonts w:ascii="Century" w:hAnsi="Century"/>
                <w:b/>
                <w:bCs/>
                <w:szCs w:val="20"/>
              </w:rPr>
            </w:pPr>
            <w:r w:rsidRPr="006A22F2">
              <w:rPr>
                <w:rFonts w:ascii="Century" w:hAnsi="Century"/>
                <w:b/>
                <w:bCs/>
                <w:szCs w:val="20"/>
              </w:rPr>
              <w:t>2021</w:t>
            </w:r>
          </w:p>
        </w:tc>
      </w:tr>
      <w:tr w:rsidR="00133BC5" w:rsidRPr="00920E8A" w:rsidTr="00133BC5">
        <w:trPr>
          <w:trHeight w:val="340"/>
        </w:trPr>
        <w:tc>
          <w:tcPr>
            <w:tcW w:w="5211" w:type="dxa"/>
            <w:tcBorders>
              <w:top w:val="single" w:sz="4" w:space="0" w:color="auto"/>
            </w:tcBorders>
            <w:shd w:val="clear" w:color="auto" w:fill="F2F2F2"/>
            <w:vAlign w:val="center"/>
          </w:tcPr>
          <w:p w:rsidR="00133BC5" w:rsidRPr="00920E8A" w:rsidRDefault="00133BC5" w:rsidP="00133BC5">
            <w:pPr>
              <w:spacing w:after="0"/>
              <w:contextualSpacing/>
              <w:rPr>
                <w:rFonts w:ascii="Century" w:hAnsi="Century"/>
                <w:b/>
                <w:bCs/>
                <w:sz w:val="20"/>
                <w:szCs w:val="20"/>
              </w:rPr>
            </w:pPr>
            <w:r w:rsidRPr="00920E8A">
              <w:rPr>
                <w:rFonts w:ascii="Century" w:hAnsi="Century"/>
                <w:b/>
                <w:sz w:val="20"/>
                <w:szCs w:val="20"/>
              </w:rPr>
              <w:t xml:space="preserve">Источники финансирования дефицита </w:t>
            </w:r>
          </w:p>
        </w:tc>
        <w:tc>
          <w:tcPr>
            <w:tcW w:w="992" w:type="dxa"/>
            <w:tcBorders>
              <w:top w:val="single" w:sz="4" w:space="0" w:color="auto"/>
            </w:tcBorders>
            <w:shd w:val="clear" w:color="auto" w:fill="F2F2F2"/>
            <w:vAlign w:val="center"/>
          </w:tcPr>
          <w:p w:rsidR="00133BC5" w:rsidRPr="00A31B8A" w:rsidRDefault="00133BC5" w:rsidP="00133BC5">
            <w:pPr>
              <w:spacing w:after="0"/>
              <w:contextualSpacing/>
              <w:jc w:val="right"/>
              <w:rPr>
                <w:rFonts w:ascii="Century" w:hAnsi="Century"/>
                <w:b/>
                <w:bCs/>
                <w:sz w:val="20"/>
                <w:szCs w:val="20"/>
                <w:highlight w:val="yellow"/>
              </w:rPr>
            </w:pPr>
            <w:r>
              <w:rPr>
                <w:rFonts w:eastAsia="Times New Roman"/>
                <w:b/>
                <w:bCs/>
                <w:lang w:eastAsia="ru-RU"/>
              </w:rPr>
              <w:t>- 482</w:t>
            </w:r>
          </w:p>
        </w:tc>
        <w:tc>
          <w:tcPr>
            <w:tcW w:w="992" w:type="dxa"/>
            <w:tcBorders>
              <w:top w:val="single" w:sz="4" w:space="0" w:color="auto"/>
            </w:tcBorders>
            <w:shd w:val="clear" w:color="auto" w:fill="F2F2F2"/>
            <w:vAlign w:val="center"/>
          </w:tcPr>
          <w:p w:rsidR="00133BC5" w:rsidRPr="00A31B8A" w:rsidRDefault="00133BC5" w:rsidP="00133BC5">
            <w:pPr>
              <w:spacing w:after="0"/>
              <w:contextualSpacing/>
              <w:jc w:val="right"/>
              <w:rPr>
                <w:rFonts w:ascii="Century" w:hAnsi="Century"/>
                <w:b/>
                <w:bCs/>
                <w:sz w:val="20"/>
                <w:szCs w:val="20"/>
                <w:highlight w:val="yellow"/>
              </w:rPr>
            </w:pPr>
            <w:r>
              <w:rPr>
                <w:rFonts w:ascii="Century" w:hAnsi="Century"/>
                <w:b/>
                <w:bCs/>
                <w:sz w:val="20"/>
                <w:szCs w:val="20"/>
              </w:rPr>
              <w:t>-1 954</w:t>
            </w:r>
          </w:p>
        </w:tc>
        <w:tc>
          <w:tcPr>
            <w:tcW w:w="992" w:type="dxa"/>
            <w:tcBorders>
              <w:top w:val="single" w:sz="4" w:space="0" w:color="auto"/>
            </w:tcBorders>
            <w:shd w:val="clear" w:color="auto" w:fill="F2F2F2"/>
            <w:vAlign w:val="center"/>
          </w:tcPr>
          <w:p w:rsidR="00133BC5" w:rsidRPr="00A31B8A" w:rsidRDefault="00133BC5" w:rsidP="00133BC5">
            <w:pPr>
              <w:spacing w:after="0"/>
              <w:contextualSpacing/>
              <w:jc w:val="right"/>
              <w:rPr>
                <w:rFonts w:ascii="Century" w:hAnsi="Century"/>
                <w:b/>
                <w:bCs/>
                <w:sz w:val="20"/>
                <w:szCs w:val="20"/>
                <w:highlight w:val="yellow"/>
              </w:rPr>
            </w:pPr>
            <w:r>
              <w:rPr>
                <w:rFonts w:ascii="Century" w:hAnsi="Century"/>
                <w:b/>
                <w:bCs/>
                <w:sz w:val="20"/>
                <w:szCs w:val="20"/>
              </w:rPr>
              <w:t>-1 153</w:t>
            </w:r>
          </w:p>
        </w:tc>
        <w:tc>
          <w:tcPr>
            <w:tcW w:w="992" w:type="dxa"/>
            <w:tcBorders>
              <w:top w:val="single" w:sz="4" w:space="0" w:color="auto"/>
            </w:tcBorders>
            <w:shd w:val="clear" w:color="auto" w:fill="F2F2F2"/>
            <w:vAlign w:val="center"/>
          </w:tcPr>
          <w:p w:rsidR="00133BC5" w:rsidRPr="00A31B8A" w:rsidRDefault="00133BC5" w:rsidP="00133BC5">
            <w:pPr>
              <w:spacing w:after="0"/>
              <w:contextualSpacing/>
              <w:jc w:val="right"/>
              <w:rPr>
                <w:rFonts w:ascii="Century" w:hAnsi="Century"/>
                <w:b/>
                <w:bCs/>
                <w:sz w:val="20"/>
                <w:szCs w:val="20"/>
                <w:highlight w:val="yellow"/>
              </w:rPr>
            </w:pPr>
            <w:r>
              <w:rPr>
                <w:rFonts w:ascii="Century" w:hAnsi="Century"/>
                <w:b/>
                <w:bCs/>
                <w:sz w:val="20"/>
                <w:szCs w:val="20"/>
              </w:rPr>
              <w:t>-659</w:t>
            </w:r>
          </w:p>
        </w:tc>
      </w:tr>
      <w:tr w:rsidR="00133BC5" w:rsidRPr="00920E8A" w:rsidTr="00133BC5">
        <w:trPr>
          <w:trHeight w:val="340"/>
        </w:trPr>
        <w:tc>
          <w:tcPr>
            <w:tcW w:w="5211" w:type="dxa"/>
            <w:vAlign w:val="center"/>
          </w:tcPr>
          <w:p w:rsidR="00133BC5" w:rsidRPr="00920E8A" w:rsidRDefault="00133BC5" w:rsidP="00133BC5">
            <w:pPr>
              <w:spacing w:after="0"/>
              <w:contextualSpacing/>
              <w:rPr>
                <w:rFonts w:ascii="Century" w:hAnsi="Century"/>
                <w:b/>
                <w:bCs/>
                <w:sz w:val="20"/>
                <w:szCs w:val="20"/>
                <w:u w:val="single"/>
              </w:rPr>
            </w:pPr>
            <w:r w:rsidRPr="00920E8A">
              <w:rPr>
                <w:rFonts w:ascii="Century" w:hAnsi="Century"/>
                <w:bCs/>
                <w:sz w:val="20"/>
                <w:szCs w:val="20"/>
                <w:u w:val="single"/>
              </w:rPr>
              <w:t>Использование ФНБ</w:t>
            </w:r>
          </w:p>
        </w:tc>
        <w:tc>
          <w:tcPr>
            <w:tcW w:w="992" w:type="dxa"/>
            <w:vAlign w:val="center"/>
          </w:tcPr>
          <w:p w:rsidR="00133BC5" w:rsidRPr="00A31B8A" w:rsidRDefault="00133BC5" w:rsidP="00133BC5">
            <w:pPr>
              <w:spacing w:after="0"/>
              <w:contextualSpacing/>
              <w:jc w:val="right"/>
              <w:rPr>
                <w:rFonts w:ascii="Century" w:hAnsi="Century"/>
                <w:sz w:val="20"/>
                <w:szCs w:val="20"/>
                <w:highlight w:val="yellow"/>
              </w:rPr>
            </w:pPr>
            <w:r w:rsidRPr="00A31B8A">
              <w:rPr>
                <w:rFonts w:ascii="Century" w:hAnsi="Century"/>
                <w:sz w:val="20"/>
                <w:szCs w:val="20"/>
              </w:rPr>
              <w:t>1 113,7</w:t>
            </w:r>
          </w:p>
        </w:tc>
        <w:tc>
          <w:tcPr>
            <w:tcW w:w="992" w:type="dxa"/>
            <w:vAlign w:val="center"/>
          </w:tcPr>
          <w:p w:rsidR="00133BC5" w:rsidRPr="00A31B8A" w:rsidRDefault="00133BC5" w:rsidP="00133BC5">
            <w:pPr>
              <w:spacing w:after="0"/>
              <w:contextualSpacing/>
              <w:jc w:val="right"/>
              <w:rPr>
                <w:rFonts w:ascii="Century" w:hAnsi="Century"/>
                <w:sz w:val="20"/>
                <w:szCs w:val="20"/>
                <w:highlight w:val="yellow"/>
              </w:rPr>
            </w:pPr>
            <w:r w:rsidRPr="00A31B8A">
              <w:rPr>
                <w:rFonts w:ascii="Century" w:hAnsi="Century"/>
                <w:sz w:val="20"/>
                <w:szCs w:val="20"/>
              </w:rPr>
              <w:t>4,5</w:t>
            </w:r>
          </w:p>
        </w:tc>
        <w:tc>
          <w:tcPr>
            <w:tcW w:w="992" w:type="dxa"/>
            <w:vAlign w:val="center"/>
          </w:tcPr>
          <w:p w:rsidR="00133BC5" w:rsidRPr="00A31B8A" w:rsidRDefault="00133BC5" w:rsidP="00133BC5">
            <w:pPr>
              <w:spacing w:after="0"/>
              <w:contextualSpacing/>
              <w:jc w:val="right"/>
              <w:rPr>
                <w:rFonts w:ascii="Century" w:hAnsi="Century"/>
                <w:sz w:val="20"/>
                <w:szCs w:val="20"/>
                <w:highlight w:val="yellow"/>
              </w:rPr>
            </w:pPr>
            <w:r w:rsidRPr="00A31B8A">
              <w:rPr>
                <w:rFonts w:ascii="Century" w:hAnsi="Century"/>
                <w:sz w:val="20"/>
                <w:szCs w:val="20"/>
              </w:rPr>
              <w:t>3,8</w:t>
            </w:r>
          </w:p>
        </w:tc>
        <w:tc>
          <w:tcPr>
            <w:tcW w:w="992" w:type="dxa"/>
            <w:vAlign w:val="center"/>
          </w:tcPr>
          <w:p w:rsidR="00133BC5" w:rsidRPr="00A31B8A" w:rsidRDefault="00133BC5" w:rsidP="00133BC5">
            <w:pPr>
              <w:spacing w:after="0"/>
              <w:contextualSpacing/>
              <w:jc w:val="right"/>
              <w:rPr>
                <w:rFonts w:ascii="Century" w:hAnsi="Century"/>
                <w:sz w:val="20"/>
                <w:szCs w:val="20"/>
                <w:highlight w:val="yellow"/>
              </w:rPr>
            </w:pPr>
            <w:r w:rsidRPr="00A31B8A">
              <w:rPr>
                <w:rFonts w:ascii="Century" w:hAnsi="Century"/>
                <w:sz w:val="20"/>
                <w:szCs w:val="20"/>
              </w:rPr>
              <w:t>3,4</w:t>
            </w:r>
          </w:p>
        </w:tc>
      </w:tr>
      <w:tr w:rsidR="00133BC5" w:rsidRPr="00920E8A" w:rsidTr="00133BC5">
        <w:trPr>
          <w:trHeight w:val="340"/>
        </w:trPr>
        <w:tc>
          <w:tcPr>
            <w:tcW w:w="5211" w:type="dxa"/>
            <w:shd w:val="clear" w:color="auto" w:fill="F2F2F2"/>
            <w:vAlign w:val="center"/>
          </w:tcPr>
          <w:p w:rsidR="00133BC5" w:rsidRPr="00920E8A" w:rsidRDefault="00133BC5" w:rsidP="00133BC5">
            <w:pPr>
              <w:spacing w:after="0"/>
              <w:contextualSpacing/>
              <w:rPr>
                <w:rFonts w:ascii="Century" w:hAnsi="Century"/>
                <w:b/>
                <w:bCs/>
                <w:sz w:val="20"/>
                <w:szCs w:val="20"/>
                <w:u w:val="single"/>
              </w:rPr>
            </w:pPr>
            <w:r w:rsidRPr="00920E8A">
              <w:rPr>
                <w:rFonts w:ascii="Century" w:hAnsi="Century"/>
                <w:sz w:val="20"/>
                <w:szCs w:val="20"/>
                <w:u w:val="single"/>
              </w:rPr>
              <w:t>Не связанные с использованием</w:t>
            </w:r>
            <w:r w:rsidRPr="00920E8A">
              <w:rPr>
                <w:rFonts w:ascii="Century" w:hAnsi="Century"/>
                <w:b/>
                <w:bCs/>
                <w:sz w:val="20"/>
                <w:szCs w:val="20"/>
                <w:u w:val="single"/>
              </w:rPr>
              <w:t xml:space="preserve"> </w:t>
            </w:r>
            <w:r w:rsidRPr="00920E8A">
              <w:rPr>
                <w:rFonts w:ascii="Century" w:hAnsi="Century"/>
                <w:sz w:val="20"/>
                <w:szCs w:val="20"/>
                <w:u w:val="single"/>
              </w:rPr>
              <w:t>ФНБ</w:t>
            </w:r>
          </w:p>
        </w:tc>
        <w:tc>
          <w:tcPr>
            <w:tcW w:w="992" w:type="dxa"/>
            <w:shd w:val="clear" w:color="auto" w:fill="F2F2F2"/>
            <w:vAlign w:val="center"/>
          </w:tcPr>
          <w:p w:rsidR="00133BC5" w:rsidRPr="00A31B8A" w:rsidRDefault="00133BC5" w:rsidP="00133BC5">
            <w:pPr>
              <w:spacing w:after="0"/>
              <w:contextualSpacing/>
              <w:jc w:val="right"/>
              <w:rPr>
                <w:rFonts w:ascii="Century" w:hAnsi="Century"/>
                <w:bCs/>
                <w:sz w:val="20"/>
                <w:szCs w:val="20"/>
                <w:highlight w:val="yellow"/>
              </w:rPr>
            </w:pPr>
            <w:r>
              <w:rPr>
                <w:rFonts w:ascii="Century" w:hAnsi="Century"/>
                <w:bCs/>
                <w:sz w:val="20"/>
                <w:szCs w:val="20"/>
              </w:rPr>
              <w:t>-1 596</w:t>
            </w:r>
          </w:p>
        </w:tc>
        <w:tc>
          <w:tcPr>
            <w:tcW w:w="992" w:type="dxa"/>
            <w:shd w:val="clear" w:color="auto" w:fill="F2F2F2"/>
            <w:vAlign w:val="center"/>
          </w:tcPr>
          <w:p w:rsidR="00133BC5" w:rsidRPr="00A31B8A" w:rsidRDefault="00133BC5" w:rsidP="00133BC5">
            <w:pPr>
              <w:spacing w:after="0"/>
              <w:contextualSpacing/>
              <w:jc w:val="right"/>
              <w:rPr>
                <w:rFonts w:ascii="Century" w:hAnsi="Century"/>
                <w:bCs/>
                <w:sz w:val="20"/>
                <w:szCs w:val="20"/>
                <w:highlight w:val="yellow"/>
              </w:rPr>
            </w:pPr>
            <w:r>
              <w:rPr>
                <w:rFonts w:ascii="Century" w:hAnsi="Century"/>
                <w:bCs/>
                <w:sz w:val="20"/>
                <w:szCs w:val="20"/>
              </w:rPr>
              <w:t>-1 959</w:t>
            </w:r>
          </w:p>
        </w:tc>
        <w:tc>
          <w:tcPr>
            <w:tcW w:w="992" w:type="dxa"/>
            <w:shd w:val="clear" w:color="auto" w:fill="F2F2F2"/>
            <w:vAlign w:val="center"/>
          </w:tcPr>
          <w:p w:rsidR="00133BC5" w:rsidRPr="00A31B8A" w:rsidRDefault="00133BC5" w:rsidP="00133BC5">
            <w:pPr>
              <w:spacing w:after="0"/>
              <w:contextualSpacing/>
              <w:jc w:val="right"/>
              <w:rPr>
                <w:rFonts w:ascii="Century" w:hAnsi="Century"/>
                <w:bCs/>
                <w:sz w:val="20"/>
                <w:szCs w:val="20"/>
                <w:highlight w:val="yellow"/>
              </w:rPr>
            </w:pPr>
            <w:r>
              <w:rPr>
                <w:rFonts w:ascii="Century" w:hAnsi="Century"/>
                <w:bCs/>
                <w:sz w:val="20"/>
                <w:szCs w:val="20"/>
              </w:rPr>
              <w:t>-1 157</w:t>
            </w:r>
          </w:p>
        </w:tc>
        <w:tc>
          <w:tcPr>
            <w:tcW w:w="992" w:type="dxa"/>
            <w:shd w:val="clear" w:color="auto" w:fill="F2F2F2"/>
            <w:vAlign w:val="center"/>
          </w:tcPr>
          <w:p w:rsidR="00133BC5" w:rsidRPr="00A31B8A" w:rsidRDefault="00133BC5" w:rsidP="00133BC5">
            <w:pPr>
              <w:spacing w:after="0"/>
              <w:contextualSpacing/>
              <w:jc w:val="right"/>
              <w:rPr>
                <w:rFonts w:ascii="Century" w:hAnsi="Century"/>
                <w:bCs/>
                <w:sz w:val="20"/>
                <w:szCs w:val="20"/>
                <w:highlight w:val="yellow"/>
              </w:rPr>
            </w:pPr>
            <w:r>
              <w:rPr>
                <w:rFonts w:ascii="Century" w:hAnsi="Century"/>
                <w:bCs/>
                <w:sz w:val="20"/>
                <w:szCs w:val="20"/>
              </w:rPr>
              <w:t>-663</w:t>
            </w:r>
          </w:p>
        </w:tc>
      </w:tr>
      <w:tr w:rsidR="00133BC5" w:rsidRPr="00920E8A" w:rsidTr="00133BC5">
        <w:trPr>
          <w:trHeight w:val="340"/>
        </w:trPr>
        <w:tc>
          <w:tcPr>
            <w:tcW w:w="5211" w:type="dxa"/>
            <w:vAlign w:val="center"/>
          </w:tcPr>
          <w:p w:rsidR="00133BC5" w:rsidRPr="00920E8A" w:rsidRDefault="00133BC5" w:rsidP="00133BC5">
            <w:pPr>
              <w:spacing w:after="0"/>
              <w:ind w:left="176"/>
              <w:contextualSpacing/>
              <w:rPr>
                <w:rFonts w:ascii="Century" w:hAnsi="Century"/>
                <w:b/>
                <w:bCs/>
                <w:sz w:val="20"/>
                <w:szCs w:val="20"/>
              </w:rPr>
            </w:pPr>
            <w:r w:rsidRPr="00920E8A">
              <w:rPr>
                <w:rFonts w:ascii="Century" w:hAnsi="Century"/>
                <w:b/>
                <w:sz w:val="20"/>
                <w:szCs w:val="20"/>
              </w:rPr>
              <w:t>Источники внутреннего</w:t>
            </w:r>
          </w:p>
          <w:p w:rsidR="00133BC5" w:rsidRPr="00920E8A" w:rsidRDefault="00133BC5" w:rsidP="00133BC5">
            <w:pPr>
              <w:spacing w:after="0"/>
              <w:ind w:left="176"/>
              <w:contextualSpacing/>
              <w:rPr>
                <w:rFonts w:ascii="Century" w:hAnsi="Century"/>
                <w:b/>
                <w:bCs/>
                <w:sz w:val="20"/>
                <w:szCs w:val="20"/>
              </w:rPr>
            </w:pPr>
            <w:r w:rsidRPr="00920E8A">
              <w:rPr>
                <w:rFonts w:ascii="Century" w:hAnsi="Century"/>
                <w:b/>
                <w:sz w:val="20"/>
                <w:szCs w:val="20"/>
              </w:rPr>
              <w:t xml:space="preserve">финансирования дефицита </w:t>
            </w:r>
          </w:p>
        </w:tc>
        <w:tc>
          <w:tcPr>
            <w:tcW w:w="992" w:type="dxa"/>
            <w:vAlign w:val="center"/>
          </w:tcPr>
          <w:p w:rsidR="00133BC5" w:rsidRPr="00575D37" w:rsidRDefault="00133BC5" w:rsidP="00133BC5">
            <w:pPr>
              <w:spacing w:after="0"/>
              <w:contextualSpacing/>
              <w:jc w:val="right"/>
              <w:rPr>
                <w:rFonts w:ascii="Century" w:hAnsi="Century"/>
                <w:b/>
                <w:bCs/>
                <w:sz w:val="20"/>
                <w:szCs w:val="20"/>
              </w:rPr>
            </w:pPr>
            <w:r>
              <w:rPr>
                <w:rFonts w:ascii="Century" w:hAnsi="Century"/>
                <w:b/>
                <w:bCs/>
                <w:sz w:val="20"/>
                <w:szCs w:val="20"/>
              </w:rPr>
              <w:t>-1 663</w:t>
            </w:r>
          </w:p>
        </w:tc>
        <w:tc>
          <w:tcPr>
            <w:tcW w:w="992" w:type="dxa"/>
            <w:vAlign w:val="center"/>
          </w:tcPr>
          <w:p w:rsidR="00133BC5" w:rsidRPr="00575D37" w:rsidRDefault="00133BC5" w:rsidP="00133BC5">
            <w:pPr>
              <w:spacing w:after="0"/>
              <w:contextualSpacing/>
              <w:jc w:val="right"/>
              <w:rPr>
                <w:rFonts w:ascii="Century" w:hAnsi="Century"/>
                <w:b/>
                <w:bCs/>
                <w:sz w:val="20"/>
                <w:szCs w:val="20"/>
              </w:rPr>
            </w:pPr>
            <w:r>
              <w:rPr>
                <w:rFonts w:ascii="Century" w:hAnsi="Century"/>
                <w:b/>
                <w:bCs/>
                <w:sz w:val="20"/>
                <w:szCs w:val="20"/>
              </w:rPr>
              <w:t> -1 910</w:t>
            </w:r>
          </w:p>
        </w:tc>
        <w:tc>
          <w:tcPr>
            <w:tcW w:w="992" w:type="dxa"/>
            <w:vAlign w:val="center"/>
          </w:tcPr>
          <w:p w:rsidR="00133BC5" w:rsidRPr="00575D37" w:rsidRDefault="00133BC5" w:rsidP="00133BC5">
            <w:pPr>
              <w:spacing w:after="0"/>
              <w:contextualSpacing/>
              <w:jc w:val="right"/>
              <w:rPr>
                <w:rFonts w:ascii="Century" w:hAnsi="Century"/>
                <w:b/>
                <w:bCs/>
                <w:sz w:val="20"/>
                <w:szCs w:val="20"/>
              </w:rPr>
            </w:pPr>
            <w:r>
              <w:rPr>
                <w:rFonts w:ascii="Century" w:hAnsi="Century"/>
                <w:b/>
                <w:bCs/>
                <w:sz w:val="20"/>
                <w:szCs w:val="20"/>
              </w:rPr>
              <w:t> -866</w:t>
            </w:r>
          </w:p>
        </w:tc>
        <w:tc>
          <w:tcPr>
            <w:tcW w:w="992" w:type="dxa"/>
            <w:vAlign w:val="center"/>
          </w:tcPr>
          <w:p w:rsidR="00133BC5" w:rsidRPr="00575D37" w:rsidRDefault="00133BC5" w:rsidP="00133BC5">
            <w:pPr>
              <w:spacing w:after="0"/>
              <w:contextualSpacing/>
              <w:jc w:val="right"/>
              <w:rPr>
                <w:rFonts w:ascii="Century" w:hAnsi="Century"/>
                <w:b/>
                <w:bCs/>
                <w:sz w:val="20"/>
                <w:szCs w:val="20"/>
              </w:rPr>
            </w:pPr>
            <w:r>
              <w:rPr>
                <w:rFonts w:ascii="Century" w:hAnsi="Century"/>
                <w:b/>
                <w:bCs/>
                <w:sz w:val="20"/>
                <w:szCs w:val="20"/>
              </w:rPr>
              <w:t> -590</w:t>
            </w:r>
          </w:p>
        </w:tc>
      </w:tr>
      <w:tr w:rsidR="00133BC5" w:rsidRPr="00920E8A" w:rsidTr="00133BC5">
        <w:trPr>
          <w:trHeight w:val="340"/>
        </w:trPr>
        <w:tc>
          <w:tcPr>
            <w:tcW w:w="5211" w:type="dxa"/>
            <w:shd w:val="clear" w:color="auto" w:fill="F2F2F2"/>
            <w:vAlign w:val="center"/>
          </w:tcPr>
          <w:p w:rsidR="00133BC5" w:rsidRPr="00920E8A" w:rsidRDefault="00133BC5" w:rsidP="00133BC5">
            <w:pPr>
              <w:spacing w:after="0"/>
              <w:ind w:left="176"/>
              <w:contextualSpacing/>
              <w:rPr>
                <w:rFonts w:ascii="Century" w:hAnsi="Century"/>
                <w:b/>
                <w:bCs/>
                <w:sz w:val="20"/>
                <w:szCs w:val="20"/>
              </w:rPr>
            </w:pPr>
            <w:r w:rsidRPr="00920E8A">
              <w:rPr>
                <w:rFonts w:ascii="Century" w:hAnsi="Century"/>
                <w:bCs/>
                <w:sz w:val="20"/>
                <w:szCs w:val="20"/>
              </w:rPr>
              <w:t>Государственные ценные бумаги</w:t>
            </w:r>
          </w:p>
        </w:tc>
        <w:tc>
          <w:tcPr>
            <w:tcW w:w="992" w:type="dxa"/>
            <w:shd w:val="clear" w:color="auto" w:fill="F2F2F2"/>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1 044</w:t>
            </w:r>
          </w:p>
        </w:tc>
        <w:tc>
          <w:tcPr>
            <w:tcW w:w="992" w:type="dxa"/>
            <w:shd w:val="clear" w:color="auto" w:fill="F2F2F2"/>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 1 475</w:t>
            </w:r>
          </w:p>
        </w:tc>
        <w:tc>
          <w:tcPr>
            <w:tcW w:w="992" w:type="dxa"/>
            <w:shd w:val="clear" w:color="auto" w:fill="F2F2F2"/>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1 847</w:t>
            </w:r>
          </w:p>
        </w:tc>
        <w:tc>
          <w:tcPr>
            <w:tcW w:w="992" w:type="dxa"/>
            <w:shd w:val="clear" w:color="auto" w:fill="F2F2F2"/>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 1 657</w:t>
            </w:r>
          </w:p>
        </w:tc>
      </w:tr>
      <w:tr w:rsidR="00133BC5" w:rsidRPr="00920E8A" w:rsidTr="00133BC5">
        <w:trPr>
          <w:trHeight w:val="340"/>
        </w:trPr>
        <w:tc>
          <w:tcPr>
            <w:tcW w:w="5211" w:type="dxa"/>
            <w:vAlign w:val="center"/>
          </w:tcPr>
          <w:p w:rsidR="00133BC5" w:rsidRPr="00920E8A" w:rsidRDefault="00133BC5" w:rsidP="00133BC5">
            <w:pPr>
              <w:spacing w:after="0"/>
              <w:ind w:left="176"/>
              <w:contextualSpacing/>
              <w:rPr>
                <w:rFonts w:ascii="Century" w:hAnsi="Century"/>
                <w:b/>
                <w:bCs/>
                <w:sz w:val="20"/>
                <w:szCs w:val="20"/>
              </w:rPr>
            </w:pPr>
            <w:r w:rsidRPr="00920E8A">
              <w:rPr>
                <w:rFonts w:ascii="Century" w:hAnsi="Century"/>
                <w:bCs/>
                <w:sz w:val="20"/>
                <w:szCs w:val="20"/>
              </w:rPr>
              <w:t>Приватизация</w:t>
            </w:r>
          </w:p>
        </w:tc>
        <w:tc>
          <w:tcPr>
            <w:tcW w:w="992" w:type="dxa"/>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15</w:t>
            </w:r>
          </w:p>
        </w:tc>
        <w:tc>
          <w:tcPr>
            <w:tcW w:w="992" w:type="dxa"/>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13</w:t>
            </w:r>
          </w:p>
        </w:tc>
        <w:tc>
          <w:tcPr>
            <w:tcW w:w="992" w:type="dxa"/>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11</w:t>
            </w:r>
          </w:p>
        </w:tc>
        <w:tc>
          <w:tcPr>
            <w:tcW w:w="992" w:type="dxa"/>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0</w:t>
            </w:r>
          </w:p>
        </w:tc>
      </w:tr>
      <w:tr w:rsidR="00133BC5" w:rsidRPr="00920E8A" w:rsidTr="00133BC5">
        <w:trPr>
          <w:trHeight w:val="340"/>
        </w:trPr>
        <w:tc>
          <w:tcPr>
            <w:tcW w:w="5211" w:type="dxa"/>
            <w:shd w:val="clear" w:color="auto" w:fill="F2F2F2" w:themeFill="background1" w:themeFillShade="F2"/>
            <w:vAlign w:val="center"/>
          </w:tcPr>
          <w:p w:rsidR="00133BC5" w:rsidRPr="00920E8A" w:rsidRDefault="00133BC5" w:rsidP="00133BC5">
            <w:pPr>
              <w:spacing w:after="0"/>
              <w:ind w:left="176"/>
              <w:contextualSpacing/>
              <w:rPr>
                <w:rFonts w:ascii="Century" w:hAnsi="Century"/>
                <w:b/>
                <w:bCs/>
                <w:sz w:val="20"/>
                <w:szCs w:val="20"/>
              </w:rPr>
            </w:pPr>
            <w:r w:rsidRPr="00920E8A">
              <w:rPr>
                <w:rFonts w:ascii="Century" w:hAnsi="Century"/>
                <w:bCs/>
                <w:sz w:val="20"/>
                <w:szCs w:val="20"/>
              </w:rPr>
              <w:t>Бюджетные кредиты</w:t>
            </w:r>
          </w:p>
        </w:tc>
        <w:tc>
          <w:tcPr>
            <w:tcW w:w="992" w:type="dxa"/>
            <w:shd w:val="clear" w:color="auto" w:fill="F2F2F2" w:themeFill="background1" w:themeFillShade="F2"/>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55</w:t>
            </w:r>
          </w:p>
        </w:tc>
        <w:tc>
          <w:tcPr>
            <w:tcW w:w="992" w:type="dxa"/>
            <w:shd w:val="clear" w:color="auto" w:fill="F2F2F2" w:themeFill="background1" w:themeFillShade="F2"/>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53</w:t>
            </w:r>
          </w:p>
        </w:tc>
        <w:tc>
          <w:tcPr>
            <w:tcW w:w="992" w:type="dxa"/>
            <w:shd w:val="clear" w:color="auto" w:fill="F2F2F2" w:themeFill="background1" w:themeFillShade="F2"/>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74</w:t>
            </w:r>
          </w:p>
        </w:tc>
        <w:tc>
          <w:tcPr>
            <w:tcW w:w="992" w:type="dxa"/>
            <w:shd w:val="clear" w:color="auto" w:fill="F2F2F2" w:themeFill="background1" w:themeFillShade="F2"/>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157</w:t>
            </w:r>
          </w:p>
        </w:tc>
      </w:tr>
      <w:tr w:rsidR="00133BC5" w:rsidRPr="00920E8A" w:rsidTr="00133BC5">
        <w:trPr>
          <w:trHeight w:val="340"/>
        </w:trPr>
        <w:tc>
          <w:tcPr>
            <w:tcW w:w="5211" w:type="dxa"/>
            <w:shd w:val="clear" w:color="auto" w:fill="FFFFFF" w:themeFill="background1"/>
            <w:vAlign w:val="center"/>
          </w:tcPr>
          <w:p w:rsidR="00133BC5" w:rsidRPr="00920E8A" w:rsidRDefault="00133BC5" w:rsidP="00133BC5">
            <w:pPr>
              <w:spacing w:after="0"/>
              <w:ind w:left="176"/>
              <w:contextualSpacing/>
              <w:rPr>
                <w:rFonts w:ascii="Century" w:hAnsi="Century"/>
                <w:b/>
                <w:bCs/>
                <w:sz w:val="20"/>
                <w:szCs w:val="20"/>
              </w:rPr>
            </w:pPr>
            <w:r w:rsidRPr="00920E8A">
              <w:rPr>
                <w:rFonts w:ascii="Century" w:hAnsi="Century"/>
                <w:bCs/>
                <w:sz w:val="20"/>
                <w:szCs w:val="20"/>
              </w:rPr>
              <w:t>Увеличение остатков на счете по зачислению доп. нефтегазовых доходов в иностранной валюте</w:t>
            </w:r>
          </w:p>
        </w:tc>
        <w:tc>
          <w:tcPr>
            <w:tcW w:w="992" w:type="dxa"/>
            <w:shd w:val="clear" w:color="auto" w:fill="FFFFFF" w:themeFill="background1"/>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-2 740</w:t>
            </w:r>
          </w:p>
        </w:tc>
        <w:tc>
          <w:tcPr>
            <w:tcW w:w="992" w:type="dxa"/>
            <w:shd w:val="clear" w:color="auto" w:fill="FFFFFF" w:themeFill="background1"/>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-3 423</w:t>
            </w:r>
          </w:p>
        </w:tc>
        <w:tc>
          <w:tcPr>
            <w:tcW w:w="992" w:type="dxa"/>
            <w:shd w:val="clear" w:color="auto" w:fill="FFFFFF" w:themeFill="background1"/>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-2 740</w:t>
            </w:r>
          </w:p>
        </w:tc>
        <w:tc>
          <w:tcPr>
            <w:tcW w:w="992" w:type="dxa"/>
            <w:shd w:val="clear" w:color="auto" w:fill="FFFFFF" w:themeFill="background1"/>
            <w:vAlign w:val="center"/>
          </w:tcPr>
          <w:p w:rsidR="00133BC5" w:rsidRPr="00CD034F" w:rsidRDefault="00133BC5" w:rsidP="00133BC5">
            <w:pPr>
              <w:spacing w:after="0"/>
              <w:contextualSpacing/>
              <w:jc w:val="right"/>
              <w:rPr>
                <w:rFonts w:ascii="Century" w:hAnsi="Century"/>
                <w:bCs/>
                <w:sz w:val="20"/>
                <w:szCs w:val="20"/>
              </w:rPr>
            </w:pPr>
            <w:r w:rsidRPr="00CD034F">
              <w:rPr>
                <w:rFonts w:ascii="Century" w:hAnsi="Century"/>
                <w:bCs/>
                <w:sz w:val="20"/>
                <w:szCs w:val="20"/>
              </w:rPr>
              <w:t>-2 355</w:t>
            </w:r>
          </w:p>
        </w:tc>
      </w:tr>
      <w:tr w:rsidR="00133BC5" w:rsidRPr="00920E8A" w:rsidTr="00133BC5">
        <w:trPr>
          <w:trHeight w:val="340"/>
        </w:trPr>
        <w:tc>
          <w:tcPr>
            <w:tcW w:w="5211" w:type="dxa"/>
            <w:shd w:val="clear" w:color="auto" w:fill="F2F2F2"/>
            <w:vAlign w:val="center"/>
          </w:tcPr>
          <w:p w:rsidR="00133BC5" w:rsidRPr="00920E8A" w:rsidRDefault="00133BC5" w:rsidP="00133BC5">
            <w:pPr>
              <w:spacing w:after="0"/>
              <w:ind w:left="176"/>
              <w:contextualSpacing/>
              <w:rPr>
                <w:rFonts w:ascii="Century" w:hAnsi="Century"/>
                <w:bCs/>
                <w:sz w:val="20"/>
                <w:szCs w:val="20"/>
              </w:rPr>
            </w:pPr>
            <w:r w:rsidRPr="00CD034F">
              <w:rPr>
                <w:rFonts w:ascii="Century" w:hAnsi="Century"/>
                <w:bCs/>
                <w:sz w:val="20"/>
                <w:szCs w:val="20"/>
              </w:rPr>
              <w:t>Изменение иных остатков</w:t>
            </w:r>
          </w:p>
        </w:tc>
        <w:tc>
          <w:tcPr>
            <w:tcW w:w="992" w:type="dxa"/>
            <w:shd w:val="clear" w:color="auto" w:fill="F2F2F2"/>
            <w:vAlign w:val="center"/>
          </w:tcPr>
          <w:p w:rsidR="00133BC5" w:rsidRPr="00CD034F" w:rsidDel="00575D37" w:rsidRDefault="00133BC5" w:rsidP="00133BC5">
            <w:pPr>
              <w:spacing w:after="0"/>
              <w:contextualSpacing/>
              <w:jc w:val="right"/>
              <w:rPr>
                <w:rFonts w:ascii="Century" w:hAnsi="Century"/>
                <w:bCs/>
                <w:sz w:val="20"/>
                <w:szCs w:val="20"/>
              </w:rPr>
            </w:pPr>
            <w:r w:rsidRPr="00CD034F">
              <w:rPr>
                <w:rFonts w:ascii="Century" w:hAnsi="Century"/>
                <w:bCs/>
                <w:sz w:val="20"/>
                <w:szCs w:val="20"/>
              </w:rPr>
              <w:t>145</w:t>
            </w:r>
          </w:p>
        </w:tc>
        <w:tc>
          <w:tcPr>
            <w:tcW w:w="992" w:type="dxa"/>
            <w:shd w:val="clear" w:color="auto" w:fill="F2F2F2"/>
            <w:vAlign w:val="center"/>
          </w:tcPr>
          <w:p w:rsidR="00133BC5" w:rsidRPr="00CD034F" w:rsidDel="00575D37" w:rsidRDefault="00133BC5" w:rsidP="00133BC5">
            <w:pPr>
              <w:spacing w:after="0"/>
              <w:contextualSpacing/>
              <w:jc w:val="right"/>
              <w:rPr>
                <w:rFonts w:ascii="Century" w:hAnsi="Century"/>
                <w:bCs/>
                <w:sz w:val="20"/>
                <w:szCs w:val="20"/>
              </w:rPr>
            </w:pPr>
          </w:p>
        </w:tc>
        <w:tc>
          <w:tcPr>
            <w:tcW w:w="992" w:type="dxa"/>
            <w:shd w:val="clear" w:color="auto" w:fill="F2F2F2"/>
            <w:vAlign w:val="center"/>
          </w:tcPr>
          <w:p w:rsidR="00133BC5" w:rsidRPr="00CD034F" w:rsidDel="00575D37" w:rsidRDefault="00133BC5" w:rsidP="00133BC5">
            <w:pPr>
              <w:spacing w:after="0"/>
              <w:contextualSpacing/>
              <w:jc w:val="right"/>
              <w:rPr>
                <w:rFonts w:ascii="Century" w:hAnsi="Century"/>
                <w:bCs/>
                <w:sz w:val="20"/>
                <w:szCs w:val="20"/>
              </w:rPr>
            </w:pPr>
          </w:p>
        </w:tc>
        <w:tc>
          <w:tcPr>
            <w:tcW w:w="992" w:type="dxa"/>
            <w:shd w:val="clear" w:color="auto" w:fill="F2F2F2"/>
            <w:vAlign w:val="center"/>
          </w:tcPr>
          <w:p w:rsidR="00133BC5" w:rsidRPr="00CD034F" w:rsidDel="00575D37" w:rsidRDefault="00133BC5" w:rsidP="00133BC5">
            <w:pPr>
              <w:spacing w:after="0"/>
              <w:contextualSpacing/>
              <w:jc w:val="right"/>
              <w:rPr>
                <w:rFonts w:ascii="Century" w:hAnsi="Century"/>
                <w:bCs/>
                <w:sz w:val="20"/>
                <w:szCs w:val="20"/>
              </w:rPr>
            </w:pPr>
          </w:p>
        </w:tc>
      </w:tr>
      <w:tr w:rsidR="00133BC5" w:rsidRPr="00D51D4C" w:rsidTr="00133BC5">
        <w:trPr>
          <w:trHeight w:val="340"/>
        </w:trPr>
        <w:tc>
          <w:tcPr>
            <w:tcW w:w="5211" w:type="dxa"/>
            <w:vAlign w:val="center"/>
          </w:tcPr>
          <w:p w:rsidR="00133BC5" w:rsidRPr="00920E8A" w:rsidRDefault="00133BC5" w:rsidP="00133BC5">
            <w:pPr>
              <w:spacing w:after="0"/>
              <w:ind w:left="176"/>
              <w:contextualSpacing/>
              <w:rPr>
                <w:rFonts w:ascii="Century" w:hAnsi="Century"/>
                <w:b/>
                <w:bCs/>
                <w:sz w:val="20"/>
                <w:szCs w:val="20"/>
              </w:rPr>
            </w:pPr>
            <w:r w:rsidRPr="00920E8A">
              <w:rPr>
                <w:rFonts w:ascii="Century" w:hAnsi="Century"/>
                <w:b/>
                <w:sz w:val="20"/>
                <w:szCs w:val="20"/>
              </w:rPr>
              <w:t>Источники внешнего финансирования</w:t>
            </w:r>
          </w:p>
        </w:tc>
        <w:tc>
          <w:tcPr>
            <w:tcW w:w="992" w:type="dxa"/>
            <w:vAlign w:val="center"/>
          </w:tcPr>
          <w:p w:rsidR="00133BC5" w:rsidRPr="00575D37" w:rsidRDefault="00133BC5" w:rsidP="00133BC5">
            <w:pPr>
              <w:spacing w:after="0"/>
              <w:contextualSpacing/>
              <w:jc w:val="right"/>
              <w:rPr>
                <w:rFonts w:ascii="Century" w:hAnsi="Century"/>
                <w:b/>
                <w:bCs/>
                <w:sz w:val="20"/>
                <w:szCs w:val="20"/>
              </w:rPr>
            </w:pPr>
            <w:r w:rsidRPr="00575D37">
              <w:rPr>
                <w:rFonts w:ascii="Century" w:hAnsi="Century"/>
                <w:b/>
                <w:bCs/>
                <w:sz w:val="20"/>
                <w:szCs w:val="20"/>
              </w:rPr>
              <w:t>-78</w:t>
            </w:r>
          </w:p>
        </w:tc>
        <w:tc>
          <w:tcPr>
            <w:tcW w:w="992" w:type="dxa"/>
            <w:vAlign w:val="center"/>
          </w:tcPr>
          <w:p w:rsidR="00133BC5" w:rsidRPr="00575D37" w:rsidRDefault="00133BC5" w:rsidP="00133BC5">
            <w:pPr>
              <w:spacing w:after="0"/>
              <w:contextualSpacing/>
              <w:jc w:val="right"/>
              <w:rPr>
                <w:rFonts w:ascii="Century" w:hAnsi="Century"/>
                <w:b/>
                <w:bCs/>
                <w:sz w:val="20"/>
                <w:szCs w:val="20"/>
              </w:rPr>
            </w:pPr>
            <w:r>
              <w:rPr>
                <w:rFonts w:ascii="Century" w:hAnsi="Century"/>
                <w:b/>
                <w:bCs/>
                <w:sz w:val="20"/>
                <w:szCs w:val="20"/>
              </w:rPr>
              <w:t>-48</w:t>
            </w:r>
          </w:p>
        </w:tc>
        <w:tc>
          <w:tcPr>
            <w:tcW w:w="992" w:type="dxa"/>
            <w:vAlign w:val="center"/>
          </w:tcPr>
          <w:p w:rsidR="00133BC5" w:rsidRPr="00575D37" w:rsidRDefault="00133BC5" w:rsidP="00133BC5">
            <w:pPr>
              <w:spacing w:after="0"/>
              <w:contextualSpacing/>
              <w:jc w:val="right"/>
              <w:rPr>
                <w:rFonts w:ascii="Century" w:hAnsi="Century"/>
                <w:b/>
                <w:bCs/>
                <w:sz w:val="20"/>
                <w:szCs w:val="20"/>
              </w:rPr>
            </w:pPr>
            <w:r>
              <w:rPr>
                <w:rFonts w:ascii="Century" w:hAnsi="Century"/>
                <w:b/>
                <w:bCs/>
                <w:sz w:val="20"/>
                <w:szCs w:val="20"/>
              </w:rPr>
              <w:t>-291</w:t>
            </w:r>
          </w:p>
        </w:tc>
        <w:tc>
          <w:tcPr>
            <w:tcW w:w="992" w:type="dxa"/>
            <w:vAlign w:val="center"/>
          </w:tcPr>
          <w:p w:rsidR="00133BC5" w:rsidRPr="00575D37" w:rsidRDefault="00133BC5" w:rsidP="00133BC5">
            <w:pPr>
              <w:spacing w:after="0"/>
              <w:contextualSpacing/>
              <w:jc w:val="right"/>
              <w:rPr>
                <w:rFonts w:ascii="Century" w:hAnsi="Century"/>
                <w:b/>
                <w:bCs/>
                <w:sz w:val="20"/>
                <w:szCs w:val="20"/>
              </w:rPr>
            </w:pPr>
            <w:r>
              <w:rPr>
                <w:rFonts w:ascii="Century" w:hAnsi="Century"/>
                <w:b/>
                <w:bCs/>
                <w:sz w:val="20"/>
                <w:szCs w:val="20"/>
              </w:rPr>
              <w:t>-73</w:t>
            </w:r>
          </w:p>
        </w:tc>
      </w:tr>
      <w:tr w:rsidR="00133BC5" w:rsidRPr="00920E8A" w:rsidTr="00133BC5">
        <w:trPr>
          <w:trHeight w:val="340"/>
        </w:trPr>
        <w:tc>
          <w:tcPr>
            <w:tcW w:w="5211" w:type="dxa"/>
            <w:shd w:val="clear" w:color="auto" w:fill="F2F2F2"/>
            <w:vAlign w:val="center"/>
          </w:tcPr>
          <w:p w:rsidR="00133BC5" w:rsidRPr="00920E8A" w:rsidRDefault="00133BC5" w:rsidP="00133BC5">
            <w:pPr>
              <w:spacing w:after="0"/>
              <w:ind w:left="176"/>
              <w:contextualSpacing/>
              <w:rPr>
                <w:rFonts w:ascii="Century" w:hAnsi="Century"/>
                <w:b/>
                <w:bCs/>
                <w:sz w:val="20"/>
                <w:szCs w:val="20"/>
              </w:rPr>
            </w:pPr>
            <w:r w:rsidRPr="00920E8A">
              <w:rPr>
                <w:rFonts w:ascii="Century" w:hAnsi="Century"/>
                <w:bCs/>
                <w:sz w:val="20"/>
                <w:szCs w:val="20"/>
              </w:rPr>
              <w:t>Заемные источники</w:t>
            </w:r>
          </w:p>
        </w:tc>
        <w:tc>
          <w:tcPr>
            <w:tcW w:w="992" w:type="dxa"/>
            <w:shd w:val="clear" w:color="auto" w:fill="F2F2F2"/>
            <w:vAlign w:val="center"/>
          </w:tcPr>
          <w:p w:rsidR="00133BC5" w:rsidRPr="00640DA9" w:rsidRDefault="00133BC5" w:rsidP="00133BC5">
            <w:pPr>
              <w:spacing w:after="0"/>
              <w:contextualSpacing/>
              <w:jc w:val="right"/>
              <w:rPr>
                <w:rFonts w:ascii="Century" w:hAnsi="Century"/>
                <w:bCs/>
                <w:sz w:val="20"/>
                <w:szCs w:val="20"/>
              </w:rPr>
            </w:pPr>
            <w:r w:rsidRPr="00640DA9">
              <w:rPr>
                <w:rFonts w:ascii="Century" w:hAnsi="Century"/>
                <w:bCs/>
                <w:sz w:val="20"/>
                <w:szCs w:val="20"/>
              </w:rPr>
              <w:t>20</w:t>
            </w:r>
          </w:p>
        </w:tc>
        <w:tc>
          <w:tcPr>
            <w:tcW w:w="992" w:type="dxa"/>
            <w:shd w:val="clear" w:color="auto" w:fill="F2F2F2"/>
            <w:vAlign w:val="center"/>
          </w:tcPr>
          <w:p w:rsidR="00133BC5" w:rsidRPr="00640DA9" w:rsidRDefault="00133BC5" w:rsidP="00133BC5">
            <w:pPr>
              <w:spacing w:after="0"/>
              <w:contextualSpacing/>
              <w:jc w:val="right"/>
              <w:rPr>
                <w:rFonts w:ascii="Century" w:hAnsi="Century"/>
                <w:bCs/>
                <w:sz w:val="20"/>
                <w:szCs w:val="20"/>
              </w:rPr>
            </w:pPr>
            <w:r w:rsidRPr="00640DA9">
              <w:rPr>
                <w:rFonts w:ascii="Century" w:hAnsi="Century"/>
                <w:bCs/>
                <w:sz w:val="20"/>
                <w:szCs w:val="20"/>
              </w:rPr>
              <w:t>70</w:t>
            </w:r>
          </w:p>
        </w:tc>
        <w:tc>
          <w:tcPr>
            <w:tcW w:w="992" w:type="dxa"/>
            <w:shd w:val="clear" w:color="auto" w:fill="F2F2F2"/>
            <w:vAlign w:val="center"/>
          </w:tcPr>
          <w:p w:rsidR="00133BC5" w:rsidRPr="00640DA9" w:rsidRDefault="00133BC5" w:rsidP="00133BC5">
            <w:pPr>
              <w:spacing w:after="0"/>
              <w:contextualSpacing/>
              <w:jc w:val="right"/>
              <w:rPr>
                <w:rFonts w:ascii="Century" w:hAnsi="Century"/>
                <w:bCs/>
                <w:sz w:val="20"/>
                <w:szCs w:val="20"/>
              </w:rPr>
            </w:pPr>
            <w:r w:rsidRPr="00640DA9">
              <w:rPr>
                <w:rFonts w:ascii="Century" w:hAnsi="Century"/>
                <w:bCs/>
                <w:sz w:val="20"/>
                <w:szCs w:val="20"/>
              </w:rPr>
              <w:t>-109</w:t>
            </w:r>
          </w:p>
        </w:tc>
        <w:tc>
          <w:tcPr>
            <w:tcW w:w="992" w:type="dxa"/>
            <w:shd w:val="clear" w:color="auto" w:fill="F2F2F2"/>
            <w:vAlign w:val="center"/>
          </w:tcPr>
          <w:p w:rsidR="00133BC5" w:rsidRPr="00640DA9" w:rsidRDefault="00133BC5" w:rsidP="00133BC5">
            <w:pPr>
              <w:spacing w:after="0"/>
              <w:contextualSpacing/>
              <w:jc w:val="right"/>
              <w:rPr>
                <w:rFonts w:ascii="Century" w:hAnsi="Century"/>
                <w:bCs/>
                <w:sz w:val="20"/>
                <w:szCs w:val="20"/>
              </w:rPr>
            </w:pPr>
            <w:r w:rsidRPr="00640DA9">
              <w:rPr>
                <w:rFonts w:ascii="Century" w:hAnsi="Century"/>
                <w:bCs/>
                <w:sz w:val="20"/>
                <w:szCs w:val="20"/>
              </w:rPr>
              <w:t>165</w:t>
            </w:r>
          </w:p>
        </w:tc>
      </w:tr>
      <w:tr w:rsidR="00133BC5" w:rsidRPr="00920E8A" w:rsidTr="00133BC5">
        <w:trPr>
          <w:trHeight w:val="340"/>
        </w:trPr>
        <w:tc>
          <w:tcPr>
            <w:tcW w:w="5211" w:type="dxa"/>
            <w:shd w:val="clear" w:color="auto" w:fill="FFFFFF" w:themeFill="background1"/>
            <w:vAlign w:val="center"/>
          </w:tcPr>
          <w:p w:rsidR="00133BC5" w:rsidRPr="00920E8A" w:rsidRDefault="00133BC5" w:rsidP="00133BC5">
            <w:pPr>
              <w:spacing w:after="0"/>
              <w:ind w:left="176"/>
              <w:contextualSpacing/>
              <w:rPr>
                <w:rFonts w:ascii="Century" w:hAnsi="Century"/>
                <w:b/>
                <w:bCs/>
                <w:sz w:val="20"/>
                <w:szCs w:val="20"/>
              </w:rPr>
            </w:pPr>
            <w:r w:rsidRPr="00920E8A">
              <w:rPr>
                <w:rFonts w:ascii="Century" w:hAnsi="Century"/>
                <w:bCs/>
                <w:sz w:val="20"/>
                <w:szCs w:val="20"/>
              </w:rPr>
              <w:t>Государственные кредиты</w:t>
            </w:r>
          </w:p>
        </w:tc>
        <w:tc>
          <w:tcPr>
            <w:tcW w:w="992" w:type="dxa"/>
            <w:shd w:val="clear" w:color="auto" w:fill="FFFFFF" w:themeFill="background1"/>
            <w:vAlign w:val="center"/>
          </w:tcPr>
          <w:p w:rsidR="00133BC5" w:rsidRPr="00640DA9" w:rsidRDefault="00133BC5" w:rsidP="00133BC5">
            <w:pPr>
              <w:spacing w:after="0"/>
              <w:contextualSpacing/>
              <w:jc w:val="right"/>
              <w:rPr>
                <w:rFonts w:ascii="Century" w:hAnsi="Century"/>
                <w:bCs/>
                <w:sz w:val="20"/>
                <w:szCs w:val="20"/>
              </w:rPr>
            </w:pPr>
            <w:r w:rsidRPr="00640DA9">
              <w:rPr>
                <w:rFonts w:ascii="Century" w:hAnsi="Century"/>
                <w:bCs/>
                <w:sz w:val="20"/>
                <w:szCs w:val="20"/>
              </w:rPr>
              <w:t>-95</w:t>
            </w:r>
          </w:p>
        </w:tc>
        <w:tc>
          <w:tcPr>
            <w:tcW w:w="992" w:type="dxa"/>
            <w:shd w:val="clear" w:color="auto" w:fill="FFFFFF" w:themeFill="background1"/>
            <w:vAlign w:val="center"/>
          </w:tcPr>
          <w:p w:rsidR="00133BC5" w:rsidRPr="00640DA9" w:rsidRDefault="00133BC5" w:rsidP="00133BC5">
            <w:pPr>
              <w:spacing w:after="0"/>
              <w:contextualSpacing/>
              <w:jc w:val="right"/>
              <w:rPr>
                <w:rFonts w:ascii="Century" w:hAnsi="Century"/>
                <w:bCs/>
                <w:sz w:val="20"/>
                <w:szCs w:val="20"/>
              </w:rPr>
            </w:pPr>
            <w:r w:rsidRPr="00640DA9">
              <w:rPr>
                <w:rFonts w:ascii="Century" w:hAnsi="Century"/>
                <w:bCs/>
                <w:sz w:val="20"/>
                <w:szCs w:val="20"/>
              </w:rPr>
              <w:t>-115</w:t>
            </w:r>
          </w:p>
        </w:tc>
        <w:tc>
          <w:tcPr>
            <w:tcW w:w="992" w:type="dxa"/>
            <w:shd w:val="clear" w:color="auto" w:fill="FFFFFF" w:themeFill="background1"/>
            <w:vAlign w:val="center"/>
          </w:tcPr>
          <w:p w:rsidR="00133BC5" w:rsidRPr="00640DA9" w:rsidRDefault="00133BC5" w:rsidP="00133BC5">
            <w:pPr>
              <w:spacing w:after="0"/>
              <w:contextualSpacing/>
              <w:jc w:val="right"/>
              <w:rPr>
                <w:rFonts w:ascii="Century" w:hAnsi="Century"/>
                <w:bCs/>
                <w:sz w:val="20"/>
                <w:szCs w:val="20"/>
              </w:rPr>
            </w:pPr>
            <w:r w:rsidRPr="00640DA9">
              <w:rPr>
                <w:rFonts w:ascii="Century" w:hAnsi="Century"/>
                <w:bCs/>
                <w:sz w:val="20"/>
                <w:szCs w:val="20"/>
              </w:rPr>
              <w:t>-179</w:t>
            </w:r>
          </w:p>
        </w:tc>
        <w:tc>
          <w:tcPr>
            <w:tcW w:w="992" w:type="dxa"/>
            <w:shd w:val="clear" w:color="auto" w:fill="FFFFFF" w:themeFill="background1"/>
            <w:vAlign w:val="center"/>
          </w:tcPr>
          <w:p w:rsidR="00133BC5" w:rsidRPr="00640DA9" w:rsidRDefault="00133BC5" w:rsidP="00133BC5">
            <w:pPr>
              <w:spacing w:after="0"/>
              <w:contextualSpacing/>
              <w:jc w:val="right"/>
              <w:rPr>
                <w:rFonts w:ascii="Century" w:hAnsi="Century"/>
                <w:bCs/>
                <w:sz w:val="20"/>
                <w:szCs w:val="20"/>
              </w:rPr>
            </w:pPr>
            <w:r w:rsidRPr="00640DA9">
              <w:rPr>
                <w:rFonts w:ascii="Century" w:hAnsi="Century"/>
                <w:bCs/>
                <w:sz w:val="20"/>
                <w:szCs w:val="20"/>
              </w:rPr>
              <w:t>-234</w:t>
            </w:r>
          </w:p>
        </w:tc>
      </w:tr>
    </w:tbl>
    <w:p w:rsidR="00133BC5" w:rsidRDefault="00133BC5" w:rsidP="00133BC5">
      <w:pPr>
        <w:spacing w:after="0"/>
      </w:pPr>
    </w:p>
    <w:p w:rsidR="00133BC5" w:rsidRPr="00133BC5" w:rsidRDefault="00133BC5" w:rsidP="00133BC5">
      <w:pPr>
        <w:spacing w:after="120"/>
        <w:jc w:val="both"/>
        <w:rPr>
          <w:rFonts w:ascii="Times New Roman" w:hAnsi="Times New Roman"/>
          <w:sz w:val="24"/>
        </w:rPr>
      </w:pPr>
      <w:r w:rsidRPr="00133BC5">
        <w:rPr>
          <w:rFonts w:ascii="Times New Roman" w:hAnsi="Times New Roman"/>
          <w:sz w:val="24"/>
        </w:rPr>
        <w:lastRenderedPageBreak/>
        <w:t>Реализация такой стратегии финансирования дефицита приведет к плавному увеличению уровня государственного долга с его сохранением экономически безопасном уровне.</w:t>
      </w:r>
    </w:p>
    <w:p w:rsidR="00133BC5" w:rsidRPr="00133BC5" w:rsidRDefault="00133BC5" w:rsidP="00133BC5">
      <w:pPr>
        <w:spacing w:after="0"/>
        <w:rPr>
          <w:rFonts w:ascii="Times New Roman" w:hAnsi="Times New Roman"/>
          <w:sz w:val="24"/>
        </w:rPr>
      </w:pPr>
      <w:r w:rsidRPr="00133BC5">
        <w:rPr>
          <w:rFonts w:ascii="Times New Roman" w:hAnsi="Times New Roman"/>
          <w:b/>
          <w:sz w:val="24"/>
        </w:rPr>
        <w:t>Таблица 4.1.5.</w:t>
      </w:r>
      <w:r w:rsidRPr="00133BC5">
        <w:rPr>
          <w:rFonts w:ascii="Times New Roman" w:hAnsi="Times New Roman"/>
          <w:sz w:val="24"/>
        </w:rPr>
        <w:t xml:space="preserve"> Государственный долг в 2018-2021 гг.</w:t>
      </w:r>
    </w:p>
    <w:p w:rsidR="00133BC5" w:rsidRPr="00133BC5" w:rsidRDefault="00133BC5" w:rsidP="00133BC5">
      <w:pPr>
        <w:jc w:val="right"/>
        <w:rPr>
          <w:rFonts w:ascii="Times New Roman" w:hAnsi="Times New Roman"/>
          <w:i/>
        </w:rPr>
      </w:pPr>
      <w:r w:rsidRPr="00133BC5">
        <w:rPr>
          <w:rFonts w:ascii="Times New Roman" w:hAnsi="Times New Roman"/>
          <w:i/>
        </w:rPr>
        <w:t>млрд рублей</w:t>
      </w:r>
    </w:p>
    <w:tbl>
      <w:tblPr>
        <w:tblW w:w="9179" w:type="dxa"/>
        <w:tblLayout w:type="fixed"/>
        <w:tblLook w:val="00A0" w:firstRow="1" w:lastRow="0" w:firstColumn="1" w:lastColumn="0" w:noHBand="0" w:noVBand="0"/>
      </w:tblPr>
      <w:tblGrid>
        <w:gridCol w:w="5211"/>
        <w:gridCol w:w="992"/>
        <w:gridCol w:w="992"/>
        <w:gridCol w:w="992"/>
        <w:gridCol w:w="992"/>
      </w:tblGrid>
      <w:tr w:rsidR="00133BC5" w:rsidRPr="00920E8A" w:rsidTr="00133BC5">
        <w:trPr>
          <w:trHeight w:val="340"/>
        </w:trPr>
        <w:tc>
          <w:tcPr>
            <w:tcW w:w="5211" w:type="dxa"/>
            <w:tcBorders>
              <w:bottom w:val="single" w:sz="4" w:space="0" w:color="auto"/>
            </w:tcBorders>
          </w:tcPr>
          <w:p w:rsidR="00133BC5" w:rsidRPr="00920E8A" w:rsidRDefault="00133BC5" w:rsidP="00133BC5">
            <w:pPr>
              <w:spacing w:after="0"/>
              <w:contextualSpacing/>
              <w:rPr>
                <w:rFonts w:ascii="Century" w:hAnsi="Century"/>
                <w:b/>
                <w:bCs/>
              </w:rPr>
            </w:pPr>
            <w:r w:rsidRPr="00920E8A">
              <w:rPr>
                <w:rFonts w:ascii="Century" w:hAnsi="Century"/>
                <w:b/>
                <w:bCs/>
              </w:rPr>
              <w:t>Показатель</w:t>
            </w:r>
          </w:p>
        </w:tc>
        <w:tc>
          <w:tcPr>
            <w:tcW w:w="992" w:type="dxa"/>
            <w:tcBorders>
              <w:bottom w:val="single" w:sz="4" w:space="0" w:color="auto"/>
            </w:tcBorders>
            <w:vAlign w:val="center"/>
          </w:tcPr>
          <w:p w:rsidR="00133BC5" w:rsidRPr="00920E8A" w:rsidRDefault="00133BC5" w:rsidP="00133BC5">
            <w:pPr>
              <w:spacing w:after="0"/>
              <w:contextualSpacing/>
              <w:jc w:val="center"/>
              <w:rPr>
                <w:rFonts w:ascii="Century" w:hAnsi="Century"/>
                <w:b/>
                <w:bCs/>
              </w:rPr>
            </w:pPr>
            <w:r w:rsidRPr="00920E8A">
              <w:rPr>
                <w:rFonts w:ascii="Century" w:hAnsi="Century"/>
                <w:b/>
                <w:bCs/>
              </w:rPr>
              <w:t>2018</w:t>
            </w:r>
          </w:p>
        </w:tc>
        <w:tc>
          <w:tcPr>
            <w:tcW w:w="992" w:type="dxa"/>
            <w:tcBorders>
              <w:bottom w:val="single" w:sz="4" w:space="0" w:color="auto"/>
            </w:tcBorders>
            <w:vAlign w:val="center"/>
          </w:tcPr>
          <w:p w:rsidR="00133BC5" w:rsidRPr="00920E8A" w:rsidRDefault="00133BC5" w:rsidP="00133BC5">
            <w:pPr>
              <w:spacing w:after="0"/>
              <w:contextualSpacing/>
              <w:jc w:val="center"/>
              <w:rPr>
                <w:rFonts w:ascii="Century" w:hAnsi="Century"/>
                <w:b/>
                <w:bCs/>
              </w:rPr>
            </w:pPr>
            <w:r w:rsidRPr="00920E8A">
              <w:rPr>
                <w:rFonts w:ascii="Century" w:hAnsi="Century"/>
                <w:b/>
                <w:bCs/>
              </w:rPr>
              <w:t>2019</w:t>
            </w:r>
          </w:p>
        </w:tc>
        <w:tc>
          <w:tcPr>
            <w:tcW w:w="992" w:type="dxa"/>
            <w:tcBorders>
              <w:bottom w:val="single" w:sz="4" w:space="0" w:color="auto"/>
            </w:tcBorders>
            <w:vAlign w:val="center"/>
          </w:tcPr>
          <w:p w:rsidR="00133BC5" w:rsidRPr="00920E8A" w:rsidRDefault="00133BC5" w:rsidP="00133BC5">
            <w:pPr>
              <w:spacing w:after="0"/>
              <w:contextualSpacing/>
              <w:jc w:val="center"/>
              <w:rPr>
                <w:rFonts w:ascii="Century" w:hAnsi="Century"/>
                <w:b/>
                <w:bCs/>
              </w:rPr>
            </w:pPr>
            <w:r w:rsidRPr="00920E8A">
              <w:rPr>
                <w:rFonts w:ascii="Century" w:hAnsi="Century"/>
                <w:b/>
                <w:bCs/>
              </w:rPr>
              <w:t>2020</w:t>
            </w:r>
          </w:p>
        </w:tc>
        <w:tc>
          <w:tcPr>
            <w:tcW w:w="992" w:type="dxa"/>
            <w:tcBorders>
              <w:bottom w:val="single" w:sz="4" w:space="0" w:color="auto"/>
            </w:tcBorders>
            <w:vAlign w:val="center"/>
          </w:tcPr>
          <w:p w:rsidR="00133BC5" w:rsidRPr="00920E8A" w:rsidRDefault="00133BC5" w:rsidP="00133BC5">
            <w:pPr>
              <w:spacing w:after="0"/>
              <w:contextualSpacing/>
              <w:jc w:val="center"/>
              <w:rPr>
                <w:rFonts w:ascii="Century" w:hAnsi="Century"/>
                <w:b/>
                <w:bCs/>
              </w:rPr>
            </w:pPr>
            <w:r w:rsidRPr="00920E8A">
              <w:rPr>
                <w:rFonts w:ascii="Century" w:hAnsi="Century"/>
                <w:b/>
                <w:bCs/>
              </w:rPr>
              <w:t>2021</w:t>
            </w:r>
          </w:p>
        </w:tc>
      </w:tr>
      <w:tr w:rsidR="00133BC5" w:rsidRPr="00920E8A" w:rsidTr="00133BC5">
        <w:trPr>
          <w:trHeight w:val="340"/>
        </w:trPr>
        <w:tc>
          <w:tcPr>
            <w:tcW w:w="5211" w:type="dxa"/>
            <w:shd w:val="clear" w:color="auto" w:fill="auto"/>
            <w:vAlign w:val="center"/>
          </w:tcPr>
          <w:p w:rsidR="00133BC5" w:rsidRPr="00920E8A" w:rsidRDefault="00133BC5" w:rsidP="00133BC5">
            <w:pPr>
              <w:spacing w:after="0"/>
              <w:contextualSpacing/>
              <w:textAlignment w:val="top"/>
              <w:rPr>
                <w:rFonts w:ascii="Century" w:hAnsi="Century"/>
                <w:b/>
                <w:bCs/>
                <w:i/>
                <w:iCs/>
                <w:sz w:val="20"/>
                <w:szCs w:val="20"/>
                <w:lang w:eastAsia="ru-RU"/>
              </w:rPr>
            </w:pPr>
            <w:r w:rsidRPr="00920E8A">
              <w:rPr>
                <w:rFonts w:ascii="Century" w:hAnsi="Century"/>
                <w:b/>
                <w:bCs/>
                <w:sz w:val="20"/>
                <w:szCs w:val="20"/>
                <w:lang w:eastAsia="ru-RU"/>
              </w:rPr>
              <w:t>Объем государственного долга на конец года</w:t>
            </w:r>
          </w:p>
        </w:tc>
        <w:tc>
          <w:tcPr>
            <w:tcW w:w="992" w:type="dxa"/>
            <w:shd w:val="clear" w:color="auto" w:fill="auto"/>
            <w:vAlign w:val="center"/>
          </w:tcPr>
          <w:p w:rsidR="00133BC5" w:rsidRPr="00301C2F" w:rsidRDefault="00133BC5" w:rsidP="00133BC5">
            <w:pPr>
              <w:spacing w:after="0"/>
              <w:contextualSpacing/>
              <w:jc w:val="center"/>
              <w:rPr>
                <w:rFonts w:ascii="Century" w:hAnsi="Century"/>
                <w:b/>
                <w:bCs/>
                <w:sz w:val="20"/>
                <w:szCs w:val="20"/>
              </w:rPr>
            </w:pPr>
            <w:r w:rsidRPr="00301C2F">
              <w:rPr>
                <w:rFonts w:ascii="Century" w:hAnsi="Century"/>
                <w:b/>
                <w:bCs/>
                <w:sz w:val="20"/>
                <w:szCs w:val="20"/>
              </w:rPr>
              <w:t>14 114</w:t>
            </w:r>
          </w:p>
        </w:tc>
        <w:tc>
          <w:tcPr>
            <w:tcW w:w="992" w:type="dxa"/>
            <w:shd w:val="clear" w:color="auto" w:fill="auto"/>
            <w:vAlign w:val="center"/>
          </w:tcPr>
          <w:p w:rsidR="00133BC5" w:rsidRPr="00301C2F" w:rsidRDefault="00133BC5" w:rsidP="00133BC5">
            <w:pPr>
              <w:spacing w:after="0"/>
              <w:contextualSpacing/>
              <w:jc w:val="center"/>
              <w:rPr>
                <w:rFonts w:ascii="Century" w:hAnsi="Century"/>
                <w:b/>
                <w:bCs/>
                <w:sz w:val="20"/>
                <w:szCs w:val="20"/>
              </w:rPr>
            </w:pPr>
            <w:r w:rsidRPr="00301C2F">
              <w:rPr>
                <w:rFonts w:ascii="Century" w:hAnsi="Century"/>
                <w:b/>
                <w:bCs/>
                <w:sz w:val="20"/>
                <w:szCs w:val="20"/>
              </w:rPr>
              <w:t>15 915</w:t>
            </w:r>
          </w:p>
        </w:tc>
        <w:tc>
          <w:tcPr>
            <w:tcW w:w="992" w:type="dxa"/>
            <w:shd w:val="clear" w:color="auto" w:fill="auto"/>
            <w:vAlign w:val="center"/>
          </w:tcPr>
          <w:p w:rsidR="00133BC5" w:rsidRPr="00301C2F" w:rsidRDefault="00133BC5" w:rsidP="00133BC5">
            <w:pPr>
              <w:spacing w:after="0"/>
              <w:contextualSpacing/>
              <w:jc w:val="center"/>
              <w:rPr>
                <w:rFonts w:ascii="Century" w:hAnsi="Century"/>
                <w:b/>
                <w:bCs/>
                <w:sz w:val="20"/>
                <w:szCs w:val="20"/>
              </w:rPr>
            </w:pPr>
            <w:r w:rsidRPr="00301C2F">
              <w:rPr>
                <w:rFonts w:ascii="Century" w:hAnsi="Century"/>
                <w:b/>
                <w:bCs/>
                <w:sz w:val="20"/>
                <w:szCs w:val="20"/>
              </w:rPr>
              <w:t>17 850</w:t>
            </w:r>
          </w:p>
        </w:tc>
        <w:tc>
          <w:tcPr>
            <w:tcW w:w="992" w:type="dxa"/>
            <w:shd w:val="clear" w:color="auto" w:fill="auto"/>
            <w:vAlign w:val="center"/>
          </w:tcPr>
          <w:p w:rsidR="00133BC5" w:rsidRPr="00301C2F" w:rsidRDefault="00133BC5" w:rsidP="00133BC5">
            <w:pPr>
              <w:spacing w:after="0"/>
              <w:contextualSpacing/>
              <w:jc w:val="center"/>
              <w:rPr>
                <w:rFonts w:ascii="Century" w:hAnsi="Century"/>
                <w:b/>
                <w:bCs/>
                <w:sz w:val="20"/>
                <w:szCs w:val="20"/>
              </w:rPr>
            </w:pPr>
            <w:r w:rsidRPr="00301C2F">
              <w:rPr>
                <w:rFonts w:ascii="Century" w:hAnsi="Century"/>
                <w:b/>
                <w:bCs/>
                <w:sz w:val="20"/>
                <w:szCs w:val="20"/>
              </w:rPr>
              <w:t>19 858</w:t>
            </w:r>
          </w:p>
        </w:tc>
      </w:tr>
      <w:tr w:rsidR="00133BC5" w:rsidRPr="00920E8A" w:rsidTr="00133BC5">
        <w:trPr>
          <w:trHeight w:val="340"/>
        </w:trPr>
        <w:tc>
          <w:tcPr>
            <w:tcW w:w="5211" w:type="dxa"/>
            <w:shd w:val="pct5" w:color="auto" w:fill="auto"/>
            <w:vAlign w:val="center"/>
          </w:tcPr>
          <w:p w:rsidR="00133BC5" w:rsidRPr="00920E8A" w:rsidRDefault="00133BC5" w:rsidP="00133BC5">
            <w:pPr>
              <w:spacing w:after="0"/>
              <w:contextualSpacing/>
              <w:textAlignment w:val="top"/>
              <w:rPr>
                <w:rFonts w:ascii="Century" w:hAnsi="Century"/>
                <w:b/>
                <w:bCs/>
                <w:i/>
                <w:iCs/>
                <w:sz w:val="20"/>
                <w:szCs w:val="20"/>
                <w:lang w:eastAsia="ru-RU"/>
              </w:rPr>
            </w:pPr>
            <w:r w:rsidRPr="00920E8A">
              <w:rPr>
                <w:rFonts w:ascii="Century" w:hAnsi="Century"/>
                <w:bCs/>
                <w:i/>
                <w:sz w:val="20"/>
                <w:szCs w:val="20"/>
                <w:lang w:eastAsia="ru-RU"/>
              </w:rPr>
              <w:t>%% ВВП</w:t>
            </w:r>
          </w:p>
        </w:tc>
        <w:tc>
          <w:tcPr>
            <w:tcW w:w="992" w:type="dxa"/>
            <w:shd w:val="pct5" w:color="auto" w:fill="auto"/>
            <w:vAlign w:val="center"/>
          </w:tcPr>
          <w:p w:rsidR="00133BC5" w:rsidRPr="00702279" w:rsidRDefault="00133BC5" w:rsidP="00133BC5">
            <w:pPr>
              <w:spacing w:after="0"/>
              <w:contextualSpacing/>
              <w:jc w:val="center"/>
              <w:rPr>
                <w:rFonts w:ascii="Century" w:hAnsi="Century"/>
                <w:bCs/>
                <w:i/>
                <w:sz w:val="20"/>
                <w:szCs w:val="20"/>
              </w:rPr>
            </w:pPr>
            <w:r w:rsidRPr="00702279">
              <w:rPr>
                <w:rFonts w:ascii="Century" w:hAnsi="Century"/>
                <w:bCs/>
                <w:i/>
                <w:sz w:val="20"/>
                <w:szCs w:val="20"/>
              </w:rPr>
              <w:t>14,0</w:t>
            </w:r>
          </w:p>
        </w:tc>
        <w:tc>
          <w:tcPr>
            <w:tcW w:w="992" w:type="dxa"/>
            <w:shd w:val="pct5" w:color="auto" w:fill="auto"/>
            <w:vAlign w:val="center"/>
          </w:tcPr>
          <w:p w:rsidR="00133BC5" w:rsidRPr="00702279" w:rsidRDefault="00133BC5" w:rsidP="00133BC5">
            <w:pPr>
              <w:spacing w:after="0"/>
              <w:contextualSpacing/>
              <w:jc w:val="center"/>
              <w:rPr>
                <w:rFonts w:ascii="Century" w:hAnsi="Century"/>
                <w:bCs/>
                <w:i/>
                <w:sz w:val="20"/>
                <w:szCs w:val="20"/>
              </w:rPr>
            </w:pPr>
            <w:r w:rsidRPr="00702279">
              <w:rPr>
                <w:rFonts w:ascii="Century" w:hAnsi="Century"/>
                <w:bCs/>
                <w:i/>
                <w:sz w:val="20"/>
                <w:szCs w:val="20"/>
              </w:rPr>
              <w:t>15,0</w:t>
            </w:r>
          </w:p>
        </w:tc>
        <w:tc>
          <w:tcPr>
            <w:tcW w:w="992" w:type="dxa"/>
            <w:shd w:val="pct5" w:color="auto" w:fill="auto"/>
            <w:vAlign w:val="center"/>
          </w:tcPr>
          <w:p w:rsidR="00133BC5" w:rsidRPr="00702279" w:rsidRDefault="00133BC5" w:rsidP="00133BC5">
            <w:pPr>
              <w:spacing w:after="0"/>
              <w:contextualSpacing/>
              <w:jc w:val="center"/>
              <w:rPr>
                <w:rFonts w:ascii="Century" w:hAnsi="Century"/>
                <w:bCs/>
                <w:i/>
                <w:sz w:val="20"/>
                <w:szCs w:val="20"/>
              </w:rPr>
            </w:pPr>
            <w:r w:rsidRPr="00702279">
              <w:rPr>
                <w:rFonts w:ascii="Century" w:hAnsi="Century"/>
                <w:bCs/>
                <w:i/>
                <w:sz w:val="20"/>
                <w:szCs w:val="20"/>
              </w:rPr>
              <w:t>16,0</w:t>
            </w:r>
          </w:p>
        </w:tc>
        <w:tc>
          <w:tcPr>
            <w:tcW w:w="992" w:type="dxa"/>
            <w:shd w:val="pct5" w:color="auto" w:fill="auto"/>
            <w:vAlign w:val="center"/>
          </w:tcPr>
          <w:p w:rsidR="00133BC5" w:rsidRPr="00702279" w:rsidRDefault="00133BC5" w:rsidP="00133BC5">
            <w:pPr>
              <w:spacing w:after="0"/>
              <w:contextualSpacing/>
              <w:jc w:val="center"/>
              <w:rPr>
                <w:rFonts w:ascii="Century" w:hAnsi="Century"/>
                <w:bCs/>
                <w:i/>
                <w:sz w:val="20"/>
                <w:szCs w:val="20"/>
              </w:rPr>
            </w:pPr>
            <w:r w:rsidRPr="00702279">
              <w:rPr>
                <w:rFonts w:ascii="Century" w:hAnsi="Century"/>
                <w:bCs/>
                <w:i/>
                <w:sz w:val="20"/>
                <w:szCs w:val="20"/>
              </w:rPr>
              <w:t>16,6</w:t>
            </w:r>
          </w:p>
        </w:tc>
      </w:tr>
      <w:tr w:rsidR="00133BC5" w:rsidRPr="00920E8A" w:rsidTr="00133BC5">
        <w:trPr>
          <w:trHeight w:val="340"/>
        </w:trPr>
        <w:tc>
          <w:tcPr>
            <w:tcW w:w="5211" w:type="dxa"/>
            <w:shd w:val="pct5" w:color="auto" w:fill="auto"/>
            <w:vAlign w:val="center"/>
          </w:tcPr>
          <w:p w:rsidR="00133BC5" w:rsidRPr="00AB4258" w:rsidRDefault="00133BC5" w:rsidP="00133BC5">
            <w:pPr>
              <w:spacing w:after="0"/>
              <w:ind w:left="176" w:firstLine="391"/>
              <w:textAlignment w:val="top"/>
              <w:rPr>
                <w:rFonts w:ascii="Century" w:hAnsi="Century"/>
                <w:bCs/>
                <w:sz w:val="20"/>
                <w:szCs w:val="20"/>
                <w:lang w:eastAsia="ru-RU"/>
              </w:rPr>
            </w:pPr>
            <w:r>
              <w:rPr>
                <w:rFonts w:ascii="Century" w:hAnsi="Century"/>
                <w:bCs/>
                <w:sz w:val="20"/>
                <w:szCs w:val="20"/>
                <w:lang w:eastAsia="ru-RU"/>
              </w:rPr>
              <w:t>в том числе по государственным гарантиям</w:t>
            </w:r>
          </w:p>
        </w:tc>
        <w:tc>
          <w:tcPr>
            <w:tcW w:w="992" w:type="dxa"/>
            <w:shd w:val="pct5" w:color="auto" w:fill="auto"/>
            <w:vAlign w:val="center"/>
          </w:tcPr>
          <w:p w:rsidR="00133BC5" w:rsidRPr="0098532B" w:rsidRDefault="00133BC5" w:rsidP="00133BC5">
            <w:pPr>
              <w:spacing w:after="0"/>
              <w:jc w:val="center"/>
              <w:rPr>
                <w:rFonts w:ascii="Century" w:hAnsi="Century"/>
                <w:sz w:val="20"/>
                <w:szCs w:val="20"/>
              </w:rPr>
            </w:pPr>
            <w:r>
              <w:rPr>
                <w:rFonts w:ascii="Century" w:hAnsi="Century"/>
                <w:sz w:val="20"/>
                <w:szCs w:val="20"/>
              </w:rPr>
              <w:t>3 377</w:t>
            </w:r>
          </w:p>
        </w:tc>
        <w:tc>
          <w:tcPr>
            <w:tcW w:w="992" w:type="dxa"/>
            <w:shd w:val="pct5" w:color="auto" w:fill="auto"/>
            <w:vAlign w:val="center"/>
          </w:tcPr>
          <w:p w:rsidR="00133BC5" w:rsidRPr="0098532B" w:rsidDel="0098532B" w:rsidRDefault="00133BC5" w:rsidP="00133BC5">
            <w:pPr>
              <w:spacing w:after="0"/>
              <w:jc w:val="center"/>
              <w:rPr>
                <w:rFonts w:ascii="Century" w:hAnsi="Century"/>
                <w:sz w:val="20"/>
                <w:szCs w:val="20"/>
              </w:rPr>
            </w:pPr>
            <w:r>
              <w:rPr>
                <w:rFonts w:ascii="Century" w:hAnsi="Century"/>
                <w:sz w:val="20"/>
                <w:szCs w:val="20"/>
              </w:rPr>
              <w:t>3 539</w:t>
            </w:r>
          </w:p>
        </w:tc>
        <w:tc>
          <w:tcPr>
            <w:tcW w:w="992" w:type="dxa"/>
            <w:shd w:val="pct5" w:color="auto" w:fill="auto"/>
            <w:vAlign w:val="center"/>
          </w:tcPr>
          <w:p w:rsidR="00133BC5" w:rsidRPr="0098532B" w:rsidRDefault="00133BC5" w:rsidP="00133BC5">
            <w:pPr>
              <w:spacing w:after="0"/>
              <w:jc w:val="center"/>
              <w:rPr>
                <w:rFonts w:ascii="Century" w:hAnsi="Century"/>
                <w:sz w:val="20"/>
                <w:szCs w:val="20"/>
              </w:rPr>
            </w:pPr>
            <w:r>
              <w:rPr>
                <w:rFonts w:ascii="Century" w:hAnsi="Century"/>
                <w:sz w:val="20"/>
                <w:szCs w:val="20"/>
              </w:rPr>
              <w:t>3 677</w:t>
            </w:r>
          </w:p>
        </w:tc>
        <w:tc>
          <w:tcPr>
            <w:tcW w:w="992" w:type="dxa"/>
            <w:shd w:val="pct5" w:color="auto" w:fill="auto"/>
            <w:vAlign w:val="center"/>
          </w:tcPr>
          <w:p w:rsidR="00133BC5" w:rsidRPr="0098532B" w:rsidDel="0098532B" w:rsidRDefault="00133BC5" w:rsidP="00133BC5">
            <w:pPr>
              <w:spacing w:after="0"/>
              <w:jc w:val="center"/>
              <w:rPr>
                <w:rFonts w:ascii="Century" w:hAnsi="Century"/>
                <w:sz w:val="20"/>
                <w:szCs w:val="20"/>
              </w:rPr>
            </w:pPr>
            <w:r>
              <w:rPr>
                <w:rFonts w:ascii="Century" w:hAnsi="Century"/>
                <w:sz w:val="20"/>
                <w:szCs w:val="20"/>
              </w:rPr>
              <w:t>3 798</w:t>
            </w:r>
          </w:p>
        </w:tc>
      </w:tr>
      <w:tr w:rsidR="00133BC5" w:rsidRPr="00920E8A" w:rsidTr="00133BC5">
        <w:trPr>
          <w:trHeight w:val="379"/>
        </w:trPr>
        <w:tc>
          <w:tcPr>
            <w:tcW w:w="5211" w:type="dxa"/>
            <w:vAlign w:val="center"/>
          </w:tcPr>
          <w:p w:rsidR="00133BC5" w:rsidRPr="00630F63" w:rsidRDefault="00133BC5" w:rsidP="00133BC5">
            <w:pPr>
              <w:spacing w:after="0"/>
              <w:ind w:left="567"/>
              <w:contextualSpacing/>
              <w:textAlignment w:val="top"/>
              <w:rPr>
                <w:rFonts w:ascii="Century" w:hAnsi="Century"/>
                <w:bCs/>
                <w:i/>
                <w:sz w:val="20"/>
                <w:szCs w:val="20"/>
                <w:lang w:eastAsia="ru-RU"/>
              </w:rPr>
            </w:pPr>
            <w:r w:rsidRPr="00630F63">
              <w:rPr>
                <w:rFonts w:ascii="Century" w:hAnsi="Century"/>
                <w:bCs/>
                <w:i/>
                <w:sz w:val="20"/>
                <w:szCs w:val="20"/>
                <w:lang w:eastAsia="ru-RU"/>
              </w:rPr>
              <w:t>%% ВВП</w:t>
            </w:r>
          </w:p>
        </w:tc>
        <w:tc>
          <w:tcPr>
            <w:tcW w:w="992" w:type="dxa"/>
            <w:vAlign w:val="center"/>
          </w:tcPr>
          <w:p w:rsidR="00133BC5" w:rsidRPr="00630F63" w:rsidRDefault="00133BC5" w:rsidP="00133BC5">
            <w:pPr>
              <w:spacing w:after="0"/>
              <w:contextualSpacing/>
              <w:jc w:val="center"/>
              <w:rPr>
                <w:rFonts w:ascii="Century" w:hAnsi="Century"/>
                <w:bCs/>
                <w:i/>
                <w:sz w:val="20"/>
                <w:szCs w:val="20"/>
              </w:rPr>
            </w:pPr>
            <w:r>
              <w:rPr>
                <w:rFonts w:ascii="Century" w:hAnsi="Century"/>
                <w:bCs/>
                <w:i/>
                <w:sz w:val="20"/>
                <w:szCs w:val="20"/>
              </w:rPr>
              <w:t>3,4</w:t>
            </w:r>
          </w:p>
        </w:tc>
        <w:tc>
          <w:tcPr>
            <w:tcW w:w="992" w:type="dxa"/>
            <w:vAlign w:val="center"/>
          </w:tcPr>
          <w:p w:rsidR="00133BC5" w:rsidRPr="00630F63" w:rsidRDefault="00133BC5" w:rsidP="00133BC5">
            <w:pPr>
              <w:spacing w:after="0"/>
              <w:contextualSpacing/>
              <w:jc w:val="center"/>
              <w:rPr>
                <w:rFonts w:ascii="Century" w:hAnsi="Century"/>
                <w:bCs/>
                <w:i/>
                <w:sz w:val="20"/>
                <w:szCs w:val="20"/>
              </w:rPr>
            </w:pPr>
            <w:r>
              <w:rPr>
                <w:rFonts w:ascii="Century" w:hAnsi="Century"/>
                <w:bCs/>
                <w:i/>
                <w:sz w:val="20"/>
                <w:szCs w:val="20"/>
              </w:rPr>
              <w:t>3,3</w:t>
            </w:r>
          </w:p>
        </w:tc>
        <w:tc>
          <w:tcPr>
            <w:tcW w:w="992" w:type="dxa"/>
            <w:vAlign w:val="center"/>
          </w:tcPr>
          <w:p w:rsidR="00133BC5" w:rsidRPr="00630F63" w:rsidRDefault="00133BC5" w:rsidP="00133BC5">
            <w:pPr>
              <w:spacing w:after="0"/>
              <w:contextualSpacing/>
              <w:jc w:val="center"/>
              <w:rPr>
                <w:rFonts w:ascii="Century" w:hAnsi="Century"/>
                <w:bCs/>
                <w:i/>
                <w:sz w:val="20"/>
                <w:szCs w:val="20"/>
              </w:rPr>
            </w:pPr>
            <w:r>
              <w:rPr>
                <w:rFonts w:ascii="Century" w:hAnsi="Century"/>
                <w:bCs/>
                <w:i/>
                <w:sz w:val="20"/>
                <w:szCs w:val="20"/>
              </w:rPr>
              <w:t>3,3</w:t>
            </w:r>
          </w:p>
        </w:tc>
        <w:tc>
          <w:tcPr>
            <w:tcW w:w="992" w:type="dxa"/>
            <w:vAlign w:val="center"/>
          </w:tcPr>
          <w:p w:rsidR="00133BC5" w:rsidRPr="00630F63" w:rsidRDefault="00133BC5" w:rsidP="00133BC5">
            <w:pPr>
              <w:spacing w:after="0"/>
              <w:contextualSpacing/>
              <w:jc w:val="center"/>
              <w:rPr>
                <w:rFonts w:ascii="Century" w:hAnsi="Century"/>
                <w:bCs/>
                <w:i/>
                <w:sz w:val="20"/>
                <w:szCs w:val="20"/>
              </w:rPr>
            </w:pPr>
            <w:r>
              <w:rPr>
                <w:rFonts w:ascii="Century" w:hAnsi="Century"/>
                <w:bCs/>
                <w:i/>
                <w:sz w:val="20"/>
                <w:szCs w:val="20"/>
              </w:rPr>
              <w:t>3,2</w:t>
            </w:r>
          </w:p>
        </w:tc>
      </w:tr>
      <w:tr w:rsidR="00133BC5" w:rsidRPr="00920E8A" w:rsidTr="00133BC5">
        <w:trPr>
          <w:trHeight w:val="379"/>
        </w:trPr>
        <w:tc>
          <w:tcPr>
            <w:tcW w:w="5211" w:type="dxa"/>
            <w:shd w:val="clear" w:color="auto" w:fill="F2F2F2" w:themeFill="background1" w:themeFillShade="F2"/>
            <w:vAlign w:val="center"/>
          </w:tcPr>
          <w:p w:rsidR="00133BC5" w:rsidRPr="00920E8A" w:rsidRDefault="00133BC5" w:rsidP="00133BC5">
            <w:pPr>
              <w:spacing w:after="0"/>
              <w:ind w:left="176"/>
              <w:contextualSpacing/>
              <w:textAlignment w:val="top"/>
              <w:rPr>
                <w:rFonts w:ascii="Century" w:hAnsi="Century"/>
                <w:b/>
                <w:bCs/>
                <w:i/>
                <w:iCs/>
                <w:sz w:val="20"/>
                <w:szCs w:val="20"/>
                <w:lang w:eastAsia="ru-RU"/>
              </w:rPr>
            </w:pPr>
            <w:r w:rsidRPr="00920E8A">
              <w:rPr>
                <w:rFonts w:ascii="Century" w:hAnsi="Century"/>
                <w:bCs/>
                <w:sz w:val="20"/>
                <w:szCs w:val="20"/>
                <w:lang w:eastAsia="ru-RU"/>
              </w:rPr>
              <w:t>Объем государственного внутреннего долга</w:t>
            </w:r>
          </w:p>
        </w:tc>
        <w:tc>
          <w:tcPr>
            <w:tcW w:w="992" w:type="dxa"/>
            <w:shd w:val="clear" w:color="auto" w:fill="F2F2F2" w:themeFill="background1" w:themeFillShade="F2"/>
            <w:vAlign w:val="center"/>
          </w:tcPr>
          <w:p w:rsidR="00133BC5" w:rsidRPr="00702279" w:rsidRDefault="00133BC5" w:rsidP="00133BC5">
            <w:pPr>
              <w:spacing w:after="0"/>
              <w:contextualSpacing/>
              <w:jc w:val="center"/>
              <w:rPr>
                <w:rFonts w:ascii="Century" w:hAnsi="Century"/>
                <w:bCs/>
                <w:sz w:val="20"/>
                <w:szCs w:val="20"/>
              </w:rPr>
            </w:pPr>
            <w:r w:rsidRPr="00702279">
              <w:rPr>
                <w:rFonts w:ascii="Century" w:hAnsi="Century"/>
                <w:bCs/>
                <w:sz w:val="20"/>
                <w:szCs w:val="20"/>
              </w:rPr>
              <w:t>10 280</w:t>
            </w:r>
          </w:p>
        </w:tc>
        <w:tc>
          <w:tcPr>
            <w:tcW w:w="992" w:type="dxa"/>
            <w:shd w:val="clear" w:color="auto" w:fill="F2F2F2" w:themeFill="background1" w:themeFillShade="F2"/>
            <w:vAlign w:val="center"/>
          </w:tcPr>
          <w:p w:rsidR="00133BC5" w:rsidRPr="00702279" w:rsidRDefault="00133BC5" w:rsidP="00133BC5">
            <w:pPr>
              <w:spacing w:after="0"/>
              <w:contextualSpacing/>
              <w:jc w:val="center"/>
              <w:rPr>
                <w:rFonts w:ascii="Century" w:hAnsi="Century"/>
                <w:bCs/>
                <w:sz w:val="20"/>
                <w:szCs w:val="20"/>
              </w:rPr>
            </w:pPr>
            <w:r w:rsidRPr="00702279">
              <w:rPr>
                <w:rFonts w:ascii="Century" w:hAnsi="Century"/>
                <w:bCs/>
                <w:sz w:val="20"/>
                <w:szCs w:val="20"/>
              </w:rPr>
              <w:t>11 836</w:t>
            </w:r>
          </w:p>
        </w:tc>
        <w:tc>
          <w:tcPr>
            <w:tcW w:w="992" w:type="dxa"/>
            <w:shd w:val="clear" w:color="auto" w:fill="F2F2F2" w:themeFill="background1" w:themeFillShade="F2"/>
            <w:vAlign w:val="center"/>
          </w:tcPr>
          <w:p w:rsidR="00133BC5" w:rsidRPr="00702279" w:rsidRDefault="00133BC5" w:rsidP="00133BC5">
            <w:pPr>
              <w:spacing w:after="0"/>
              <w:contextualSpacing/>
              <w:jc w:val="center"/>
              <w:rPr>
                <w:rFonts w:ascii="Century" w:hAnsi="Century"/>
                <w:bCs/>
                <w:sz w:val="20"/>
                <w:szCs w:val="20"/>
              </w:rPr>
            </w:pPr>
            <w:r w:rsidRPr="00702279">
              <w:rPr>
                <w:rFonts w:ascii="Century" w:hAnsi="Century"/>
                <w:bCs/>
                <w:sz w:val="20"/>
                <w:szCs w:val="20"/>
              </w:rPr>
              <w:t>13 791</w:t>
            </w:r>
          </w:p>
        </w:tc>
        <w:tc>
          <w:tcPr>
            <w:tcW w:w="992" w:type="dxa"/>
            <w:shd w:val="clear" w:color="auto" w:fill="F2F2F2" w:themeFill="background1" w:themeFillShade="F2"/>
            <w:vAlign w:val="center"/>
          </w:tcPr>
          <w:p w:rsidR="00133BC5" w:rsidRPr="00702279" w:rsidRDefault="00133BC5" w:rsidP="00133BC5">
            <w:pPr>
              <w:spacing w:after="0"/>
              <w:contextualSpacing/>
              <w:jc w:val="center"/>
              <w:rPr>
                <w:rFonts w:ascii="Century" w:hAnsi="Century"/>
                <w:bCs/>
                <w:sz w:val="20"/>
                <w:szCs w:val="20"/>
              </w:rPr>
            </w:pPr>
            <w:r w:rsidRPr="00702279">
              <w:rPr>
                <w:rFonts w:ascii="Century" w:hAnsi="Century"/>
                <w:bCs/>
                <w:sz w:val="20"/>
                <w:szCs w:val="20"/>
              </w:rPr>
              <w:t>15 571</w:t>
            </w:r>
          </w:p>
        </w:tc>
      </w:tr>
      <w:tr w:rsidR="00133BC5" w:rsidRPr="00920E8A" w:rsidTr="00133BC5">
        <w:trPr>
          <w:trHeight w:val="340"/>
        </w:trPr>
        <w:tc>
          <w:tcPr>
            <w:tcW w:w="5211" w:type="dxa"/>
            <w:shd w:val="clear" w:color="auto" w:fill="FFFFFF" w:themeFill="background1"/>
            <w:vAlign w:val="center"/>
          </w:tcPr>
          <w:p w:rsidR="00133BC5" w:rsidRPr="00920E8A" w:rsidRDefault="00133BC5" w:rsidP="00133BC5">
            <w:pPr>
              <w:spacing w:after="0"/>
              <w:ind w:left="176"/>
              <w:contextualSpacing/>
              <w:textAlignment w:val="top"/>
              <w:rPr>
                <w:rFonts w:ascii="Century" w:hAnsi="Century"/>
                <w:b/>
                <w:bCs/>
                <w:i/>
                <w:iCs/>
                <w:sz w:val="18"/>
                <w:szCs w:val="20"/>
                <w:lang w:eastAsia="ru-RU"/>
              </w:rPr>
            </w:pPr>
            <w:r w:rsidRPr="00920E8A">
              <w:rPr>
                <w:rFonts w:ascii="Century" w:hAnsi="Century"/>
                <w:bCs/>
                <w:i/>
                <w:sz w:val="18"/>
                <w:szCs w:val="20"/>
                <w:lang w:eastAsia="ru-RU"/>
              </w:rPr>
              <w:t>%% к общему объему</w:t>
            </w:r>
          </w:p>
        </w:tc>
        <w:tc>
          <w:tcPr>
            <w:tcW w:w="992" w:type="dxa"/>
            <w:shd w:val="clear" w:color="auto" w:fill="FFFFFF" w:themeFill="background1"/>
            <w:vAlign w:val="center"/>
          </w:tcPr>
          <w:p w:rsidR="00133BC5" w:rsidRPr="00630F63" w:rsidRDefault="00133BC5" w:rsidP="00133BC5">
            <w:pPr>
              <w:spacing w:after="0"/>
              <w:contextualSpacing/>
              <w:jc w:val="center"/>
              <w:rPr>
                <w:rFonts w:ascii="Century" w:hAnsi="Century"/>
                <w:bCs/>
                <w:i/>
                <w:sz w:val="18"/>
                <w:szCs w:val="18"/>
              </w:rPr>
            </w:pPr>
            <w:r w:rsidRPr="00630F63">
              <w:rPr>
                <w:rFonts w:ascii="Century" w:hAnsi="Century"/>
                <w:bCs/>
                <w:i/>
                <w:sz w:val="18"/>
                <w:szCs w:val="18"/>
              </w:rPr>
              <w:t>72,8</w:t>
            </w:r>
          </w:p>
        </w:tc>
        <w:tc>
          <w:tcPr>
            <w:tcW w:w="992" w:type="dxa"/>
            <w:shd w:val="clear" w:color="auto" w:fill="FFFFFF" w:themeFill="background1"/>
            <w:vAlign w:val="center"/>
          </w:tcPr>
          <w:p w:rsidR="00133BC5" w:rsidRPr="00630F63" w:rsidRDefault="00133BC5" w:rsidP="00133BC5">
            <w:pPr>
              <w:spacing w:after="0"/>
              <w:contextualSpacing/>
              <w:jc w:val="center"/>
              <w:rPr>
                <w:rFonts w:ascii="Century" w:hAnsi="Century"/>
                <w:bCs/>
                <w:i/>
                <w:sz w:val="18"/>
                <w:szCs w:val="18"/>
              </w:rPr>
            </w:pPr>
            <w:r w:rsidRPr="00630F63">
              <w:rPr>
                <w:rFonts w:ascii="Century" w:hAnsi="Century"/>
                <w:bCs/>
                <w:i/>
                <w:sz w:val="18"/>
                <w:szCs w:val="18"/>
              </w:rPr>
              <w:t>74,4</w:t>
            </w:r>
          </w:p>
        </w:tc>
        <w:tc>
          <w:tcPr>
            <w:tcW w:w="992" w:type="dxa"/>
            <w:shd w:val="clear" w:color="auto" w:fill="FFFFFF" w:themeFill="background1"/>
            <w:vAlign w:val="center"/>
          </w:tcPr>
          <w:p w:rsidR="00133BC5" w:rsidRPr="00630F63" w:rsidRDefault="00133BC5" w:rsidP="00133BC5">
            <w:pPr>
              <w:spacing w:after="0"/>
              <w:contextualSpacing/>
              <w:jc w:val="center"/>
              <w:rPr>
                <w:rFonts w:ascii="Century" w:hAnsi="Century"/>
                <w:bCs/>
                <w:i/>
                <w:sz w:val="18"/>
                <w:szCs w:val="18"/>
              </w:rPr>
            </w:pPr>
            <w:r w:rsidRPr="00630F63">
              <w:rPr>
                <w:rFonts w:ascii="Century" w:hAnsi="Century"/>
                <w:bCs/>
                <w:i/>
                <w:sz w:val="18"/>
                <w:szCs w:val="18"/>
              </w:rPr>
              <w:t>77,3</w:t>
            </w:r>
          </w:p>
        </w:tc>
        <w:tc>
          <w:tcPr>
            <w:tcW w:w="992" w:type="dxa"/>
            <w:shd w:val="clear" w:color="auto" w:fill="FFFFFF" w:themeFill="background1"/>
            <w:vAlign w:val="center"/>
          </w:tcPr>
          <w:p w:rsidR="00133BC5" w:rsidRPr="00630F63" w:rsidRDefault="00133BC5" w:rsidP="00133BC5">
            <w:pPr>
              <w:spacing w:after="0"/>
              <w:contextualSpacing/>
              <w:jc w:val="center"/>
              <w:rPr>
                <w:rFonts w:ascii="Century" w:hAnsi="Century"/>
                <w:bCs/>
                <w:i/>
                <w:sz w:val="18"/>
                <w:szCs w:val="18"/>
              </w:rPr>
            </w:pPr>
            <w:r w:rsidRPr="00630F63">
              <w:rPr>
                <w:rFonts w:ascii="Century" w:hAnsi="Century"/>
                <w:bCs/>
                <w:i/>
                <w:sz w:val="18"/>
                <w:szCs w:val="18"/>
              </w:rPr>
              <w:t>78,4</w:t>
            </w:r>
          </w:p>
        </w:tc>
      </w:tr>
      <w:tr w:rsidR="00133BC5" w:rsidRPr="00920E8A" w:rsidTr="00133BC5">
        <w:trPr>
          <w:trHeight w:val="340"/>
        </w:trPr>
        <w:tc>
          <w:tcPr>
            <w:tcW w:w="5211" w:type="dxa"/>
            <w:shd w:val="clear" w:color="auto" w:fill="F2F2F2" w:themeFill="background1" w:themeFillShade="F2"/>
            <w:vAlign w:val="center"/>
          </w:tcPr>
          <w:p w:rsidR="00133BC5" w:rsidRPr="00AB4258" w:rsidRDefault="00133BC5" w:rsidP="00133BC5">
            <w:pPr>
              <w:spacing w:after="0"/>
              <w:ind w:left="176" w:firstLine="391"/>
              <w:textAlignment w:val="top"/>
              <w:rPr>
                <w:rFonts w:ascii="Century" w:hAnsi="Century"/>
                <w:bCs/>
                <w:sz w:val="20"/>
                <w:szCs w:val="20"/>
                <w:lang w:eastAsia="ru-RU"/>
              </w:rPr>
            </w:pPr>
            <w:r>
              <w:rPr>
                <w:rFonts w:ascii="Century" w:hAnsi="Century"/>
                <w:bCs/>
                <w:sz w:val="20"/>
                <w:szCs w:val="20"/>
                <w:lang w:eastAsia="ru-RU"/>
              </w:rPr>
              <w:t>в том числе по государственным гарантиям</w:t>
            </w:r>
          </w:p>
        </w:tc>
        <w:tc>
          <w:tcPr>
            <w:tcW w:w="992" w:type="dxa"/>
            <w:shd w:val="clear" w:color="auto" w:fill="F2F2F2" w:themeFill="background1" w:themeFillShade="F2"/>
            <w:vAlign w:val="center"/>
          </w:tcPr>
          <w:p w:rsidR="00133BC5" w:rsidRPr="0098532B" w:rsidRDefault="00133BC5" w:rsidP="00133BC5">
            <w:pPr>
              <w:spacing w:after="0"/>
              <w:jc w:val="center"/>
              <w:rPr>
                <w:rFonts w:ascii="Century" w:hAnsi="Century"/>
                <w:sz w:val="20"/>
                <w:szCs w:val="20"/>
              </w:rPr>
            </w:pPr>
            <w:r>
              <w:rPr>
                <w:rFonts w:ascii="Century" w:hAnsi="Century"/>
                <w:sz w:val="20"/>
                <w:szCs w:val="20"/>
              </w:rPr>
              <w:t>1 960</w:t>
            </w:r>
          </w:p>
        </w:tc>
        <w:tc>
          <w:tcPr>
            <w:tcW w:w="992" w:type="dxa"/>
            <w:shd w:val="clear" w:color="auto" w:fill="F2F2F2" w:themeFill="background1" w:themeFillShade="F2"/>
            <w:vAlign w:val="center"/>
          </w:tcPr>
          <w:p w:rsidR="00133BC5" w:rsidRPr="0098532B" w:rsidDel="0098532B" w:rsidRDefault="00133BC5" w:rsidP="00133BC5">
            <w:pPr>
              <w:spacing w:after="0"/>
              <w:jc w:val="center"/>
              <w:rPr>
                <w:rFonts w:ascii="Century" w:hAnsi="Century"/>
                <w:sz w:val="20"/>
                <w:szCs w:val="20"/>
              </w:rPr>
            </w:pPr>
            <w:r>
              <w:rPr>
                <w:rFonts w:ascii="Century" w:hAnsi="Century"/>
                <w:sz w:val="20"/>
                <w:szCs w:val="20"/>
              </w:rPr>
              <w:t>2 009</w:t>
            </w:r>
          </w:p>
        </w:tc>
        <w:tc>
          <w:tcPr>
            <w:tcW w:w="992" w:type="dxa"/>
            <w:shd w:val="clear" w:color="auto" w:fill="F2F2F2" w:themeFill="background1" w:themeFillShade="F2"/>
            <w:vAlign w:val="center"/>
          </w:tcPr>
          <w:p w:rsidR="00133BC5" w:rsidRPr="0098532B" w:rsidRDefault="00133BC5" w:rsidP="00133BC5">
            <w:pPr>
              <w:spacing w:after="0"/>
              <w:jc w:val="center"/>
              <w:rPr>
                <w:rFonts w:ascii="Century" w:hAnsi="Century"/>
                <w:sz w:val="20"/>
                <w:szCs w:val="20"/>
              </w:rPr>
            </w:pPr>
            <w:r>
              <w:rPr>
                <w:rFonts w:ascii="Century" w:hAnsi="Century"/>
                <w:sz w:val="20"/>
                <w:szCs w:val="20"/>
              </w:rPr>
              <w:t>2 058</w:t>
            </w:r>
          </w:p>
        </w:tc>
        <w:tc>
          <w:tcPr>
            <w:tcW w:w="992" w:type="dxa"/>
            <w:shd w:val="clear" w:color="auto" w:fill="F2F2F2" w:themeFill="background1" w:themeFillShade="F2"/>
            <w:vAlign w:val="center"/>
          </w:tcPr>
          <w:p w:rsidR="00133BC5" w:rsidRPr="0098532B" w:rsidDel="0098532B" w:rsidRDefault="00133BC5" w:rsidP="00133BC5">
            <w:pPr>
              <w:spacing w:after="0"/>
              <w:jc w:val="center"/>
              <w:rPr>
                <w:rFonts w:ascii="Century" w:hAnsi="Century"/>
                <w:sz w:val="20"/>
                <w:szCs w:val="20"/>
              </w:rPr>
            </w:pPr>
            <w:r>
              <w:rPr>
                <w:rFonts w:ascii="Century" w:hAnsi="Century"/>
                <w:sz w:val="20"/>
                <w:szCs w:val="20"/>
              </w:rPr>
              <w:t>2 107</w:t>
            </w:r>
          </w:p>
        </w:tc>
      </w:tr>
      <w:tr w:rsidR="00133BC5" w:rsidRPr="00920E8A" w:rsidTr="00133BC5">
        <w:trPr>
          <w:trHeight w:val="395"/>
        </w:trPr>
        <w:tc>
          <w:tcPr>
            <w:tcW w:w="5211" w:type="dxa"/>
            <w:shd w:val="clear" w:color="auto" w:fill="FFFFFF" w:themeFill="background1"/>
            <w:vAlign w:val="center"/>
          </w:tcPr>
          <w:p w:rsidR="00133BC5" w:rsidRPr="00920E8A" w:rsidRDefault="00133BC5" w:rsidP="00133BC5">
            <w:pPr>
              <w:spacing w:after="0"/>
              <w:ind w:left="176"/>
              <w:contextualSpacing/>
              <w:textAlignment w:val="top"/>
              <w:rPr>
                <w:rFonts w:ascii="Century" w:hAnsi="Century"/>
                <w:b/>
                <w:bCs/>
                <w:i/>
                <w:iCs/>
                <w:sz w:val="20"/>
                <w:szCs w:val="20"/>
                <w:lang w:eastAsia="ru-RU"/>
              </w:rPr>
            </w:pPr>
            <w:r w:rsidRPr="00920E8A">
              <w:rPr>
                <w:rFonts w:ascii="Century" w:hAnsi="Century"/>
                <w:bCs/>
                <w:sz w:val="20"/>
                <w:szCs w:val="20"/>
                <w:lang w:eastAsia="ru-RU"/>
              </w:rPr>
              <w:t>Объем государственного внешнего долга</w:t>
            </w:r>
          </w:p>
        </w:tc>
        <w:tc>
          <w:tcPr>
            <w:tcW w:w="992" w:type="dxa"/>
            <w:shd w:val="clear" w:color="auto" w:fill="FFFFFF" w:themeFill="background1"/>
            <w:vAlign w:val="center"/>
          </w:tcPr>
          <w:p w:rsidR="00133BC5" w:rsidRPr="00841A0C" w:rsidRDefault="00133BC5" w:rsidP="00133BC5">
            <w:pPr>
              <w:spacing w:after="0"/>
              <w:contextualSpacing/>
              <w:jc w:val="center"/>
              <w:rPr>
                <w:rFonts w:ascii="Century" w:hAnsi="Century"/>
                <w:bCs/>
                <w:sz w:val="20"/>
                <w:szCs w:val="20"/>
              </w:rPr>
            </w:pPr>
            <w:r w:rsidRPr="00841A0C">
              <w:rPr>
                <w:rFonts w:ascii="Century" w:hAnsi="Century"/>
                <w:bCs/>
                <w:sz w:val="20"/>
                <w:szCs w:val="20"/>
              </w:rPr>
              <w:t>3 834</w:t>
            </w:r>
          </w:p>
        </w:tc>
        <w:tc>
          <w:tcPr>
            <w:tcW w:w="992" w:type="dxa"/>
            <w:shd w:val="clear" w:color="auto" w:fill="FFFFFF" w:themeFill="background1"/>
            <w:vAlign w:val="center"/>
          </w:tcPr>
          <w:p w:rsidR="00133BC5" w:rsidRPr="00841A0C" w:rsidRDefault="00133BC5" w:rsidP="00133BC5">
            <w:pPr>
              <w:spacing w:after="0"/>
              <w:contextualSpacing/>
              <w:jc w:val="center"/>
              <w:rPr>
                <w:rFonts w:ascii="Century" w:hAnsi="Century"/>
                <w:bCs/>
                <w:sz w:val="20"/>
                <w:szCs w:val="20"/>
              </w:rPr>
            </w:pPr>
            <w:r w:rsidRPr="00841A0C">
              <w:rPr>
                <w:rFonts w:ascii="Century" w:hAnsi="Century"/>
                <w:bCs/>
                <w:sz w:val="20"/>
                <w:szCs w:val="20"/>
              </w:rPr>
              <w:t>4 079</w:t>
            </w:r>
          </w:p>
        </w:tc>
        <w:tc>
          <w:tcPr>
            <w:tcW w:w="992" w:type="dxa"/>
            <w:shd w:val="clear" w:color="auto" w:fill="FFFFFF" w:themeFill="background1"/>
            <w:vAlign w:val="center"/>
          </w:tcPr>
          <w:p w:rsidR="00133BC5" w:rsidRPr="00841A0C" w:rsidRDefault="00133BC5" w:rsidP="00133BC5">
            <w:pPr>
              <w:spacing w:after="0"/>
              <w:contextualSpacing/>
              <w:jc w:val="center"/>
              <w:rPr>
                <w:rFonts w:ascii="Century" w:hAnsi="Century"/>
                <w:bCs/>
                <w:sz w:val="20"/>
                <w:szCs w:val="20"/>
              </w:rPr>
            </w:pPr>
            <w:r w:rsidRPr="00841A0C">
              <w:rPr>
                <w:rFonts w:ascii="Century" w:hAnsi="Century"/>
                <w:bCs/>
                <w:sz w:val="20"/>
                <w:szCs w:val="20"/>
              </w:rPr>
              <w:t>4 059</w:t>
            </w:r>
          </w:p>
        </w:tc>
        <w:tc>
          <w:tcPr>
            <w:tcW w:w="992" w:type="dxa"/>
            <w:shd w:val="clear" w:color="auto" w:fill="FFFFFF" w:themeFill="background1"/>
            <w:vAlign w:val="center"/>
          </w:tcPr>
          <w:p w:rsidR="00133BC5" w:rsidRPr="00841A0C" w:rsidRDefault="00133BC5" w:rsidP="00133BC5">
            <w:pPr>
              <w:spacing w:after="0"/>
              <w:contextualSpacing/>
              <w:jc w:val="center"/>
              <w:rPr>
                <w:rFonts w:ascii="Century" w:hAnsi="Century"/>
                <w:bCs/>
                <w:sz w:val="20"/>
                <w:szCs w:val="20"/>
              </w:rPr>
            </w:pPr>
            <w:r w:rsidRPr="00841A0C">
              <w:rPr>
                <w:rFonts w:ascii="Century" w:hAnsi="Century"/>
                <w:bCs/>
                <w:sz w:val="20"/>
                <w:szCs w:val="20"/>
              </w:rPr>
              <w:t>4 287</w:t>
            </w:r>
          </w:p>
        </w:tc>
      </w:tr>
      <w:tr w:rsidR="00133BC5" w:rsidRPr="00920E8A" w:rsidTr="00133BC5">
        <w:trPr>
          <w:trHeight w:val="340"/>
        </w:trPr>
        <w:tc>
          <w:tcPr>
            <w:tcW w:w="5211" w:type="dxa"/>
            <w:shd w:val="clear" w:color="auto" w:fill="F2F2F2" w:themeFill="background1" w:themeFillShade="F2"/>
            <w:vAlign w:val="center"/>
          </w:tcPr>
          <w:p w:rsidR="00133BC5" w:rsidRPr="00920E8A" w:rsidRDefault="00133BC5" w:rsidP="00133BC5">
            <w:pPr>
              <w:spacing w:after="0"/>
              <w:ind w:left="176"/>
              <w:contextualSpacing/>
              <w:textAlignment w:val="top"/>
              <w:rPr>
                <w:rFonts w:ascii="Century" w:hAnsi="Century"/>
                <w:b/>
                <w:bCs/>
                <w:i/>
                <w:iCs/>
                <w:sz w:val="20"/>
                <w:szCs w:val="20"/>
                <w:lang w:eastAsia="ru-RU"/>
              </w:rPr>
            </w:pPr>
            <w:r w:rsidRPr="00920E8A">
              <w:rPr>
                <w:rFonts w:ascii="Century" w:hAnsi="Century"/>
                <w:bCs/>
                <w:i/>
                <w:sz w:val="20"/>
                <w:szCs w:val="20"/>
                <w:lang w:eastAsia="ru-RU"/>
              </w:rPr>
              <w:t>%% к общему объему</w:t>
            </w:r>
          </w:p>
        </w:tc>
        <w:tc>
          <w:tcPr>
            <w:tcW w:w="992" w:type="dxa"/>
            <w:shd w:val="clear" w:color="auto" w:fill="F2F2F2" w:themeFill="background1" w:themeFillShade="F2"/>
            <w:vAlign w:val="center"/>
          </w:tcPr>
          <w:p w:rsidR="00133BC5" w:rsidRPr="00630F63" w:rsidRDefault="00133BC5" w:rsidP="00133BC5">
            <w:pPr>
              <w:spacing w:after="0"/>
              <w:contextualSpacing/>
              <w:jc w:val="center"/>
              <w:rPr>
                <w:rFonts w:ascii="Century" w:hAnsi="Century"/>
                <w:bCs/>
                <w:i/>
                <w:sz w:val="18"/>
                <w:szCs w:val="20"/>
              </w:rPr>
            </w:pPr>
            <w:r w:rsidRPr="00630F63">
              <w:rPr>
                <w:rFonts w:ascii="Century" w:hAnsi="Century"/>
                <w:bCs/>
                <w:i/>
                <w:sz w:val="18"/>
                <w:szCs w:val="20"/>
              </w:rPr>
              <w:t>27,2</w:t>
            </w:r>
          </w:p>
        </w:tc>
        <w:tc>
          <w:tcPr>
            <w:tcW w:w="992" w:type="dxa"/>
            <w:shd w:val="clear" w:color="auto" w:fill="F2F2F2" w:themeFill="background1" w:themeFillShade="F2"/>
            <w:vAlign w:val="center"/>
          </w:tcPr>
          <w:p w:rsidR="00133BC5" w:rsidRPr="00630F63" w:rsidRDefault="00133BC5" w:rsidP="00133BC5">
            <w:pPr>
              <w:spacing w:after="0"/>
              <w:contextualSpacing/>
              <w:jc w:val="center"/>
              <w:rPr>
                <w:rFonts w:ascii="Century" w:hAnsi="Century"/>
                <w:bCs/>
                <w:i/>
                <w:sz w:val="18"/>
                <w:szCs w:val="20"/>
              </w:rPr>
            </w:pPr>
            <w:r w:rsidRPr="00630F63">
              <w:rPr>
                <w:rFonts w:ascii="Century" w:hAnsi="Century"/>
                <w:bCs/>
                <w:i/>
                <w:sz w:val="18"/>
                <w:szCs w:val="20"/>
              </w:rPr>
              <w:t>25,6</w:t>
            </w:r>
          </w:p>
        </w:tc>
        <w:tc>
          <w:tcPr>
            <w:tcW w:w="992" w:type="dxa"/>
            <w:shd w:val="clear" w:color="auto" w:fill="F2F2F2" w:themeFill="background1" w:themeFillShade="F2"/>
            <w:vAlign w:val="center"/>
          </w:tcPr>
          <w:p w:rsidR="00133BC5" w:rsidRPr="00630F63" w:rsidRDefault="00133BC5" w:rsidP="00133BC5">
            <w:pPr>
              <w:spacing w:after="0"/>
              <w:contextualSpacing/>
              <w:jc w:val="center"/>
              <w:rPr>
                <w:rFonts w:ascii="Century" w:hAnsi="Century"/>
                <w:bCs/>
                <w:i/>
                <w:sz w:val="18"/>
                <w:szCs w:val="20"/>
              </w:rPr>
            </w:pPr>
            <w:r w:rsidRPr="00630F63">
              <w:rPr>
                <w:rFonts w:ascii="Century" w:hAnsi="Century"/>
                <w:bCs/>
                <w:i/>
                <w:sz w:val="18"/>
                <w:szCs w:val="20"/>
              </w:rPr>
              <w:t>22,7</w:t>
            </w:r>
          </w:p>
        </w:tc>
        <w:tc>
          <w:tcPr>
            <w:tcW w:w="992" w:type="dxa"/>
            <w:shd w:val="clear" w:color="auto" w:fill="F2F2F2" w:themeFill="background1" w:themeFillShade="F2"/>
            <w:vAlign w:val="center"/>
          </w:tcPr>
          <w:p w:rsidR="00133BC5" w:rsidRPr="00630F63" w:rsidRDefault="00133BC5" w:rsidP="00133BC5">
            <w:pPr>
              <w:spacing w:after="0"/>
              <w:contextualSpacing/>
              <w:jc w:val="center"/>
              <w:rPr>
                <w:rFonts w:ascii="Century" w:hAnsi="Century"/>
                <w:bCs/>
                <w:i/>
                <w:sz w:val="18"/>
                <w:szCs w:val="20"/>
              </w:rPr>
            </w:pPr>
            <w:r w:rsidRPr="00630F63">
              <w:rPr>
                <w:rFonts w:ascii="Century" w:hAnsi="Century"/>
                <w:bCs/>
                <w:i/>
                <w:sz w:val="18"/>
                <w:szCs w:val="20"/>
              </w:rPr>
              <w:t>21,6</w:t>
            </w:r>
          </w:p>
        </w:tc>
      </w:tr>
      <w:tr w:rsidR="00133BC5" w:rsidRPr="00920E8A" w:rsidTr="00133BC5">
        <w:trPr>
          <w:trHeight w:val="235"/>
        </w:trPr>
        <w:tc>
          <w:tcPr>
            <w:tcW w:w="5211" w:type="dxa"/>
            <w:tcBorders>
              <w:bottom w:val="single" w:sz="4" w:space="0" w:color="auto"/>
            </w:tcBorders>
            <w:shd w:val="clear" w:color="auto" w:fill="FFFFFF" w:themeFill="background1"/>
            <w:vAlign w:val="center"/>
          </w:tcPr>
          <w:p w:rsidR="00133BC5" w:rsidRPr="00147A0A" w:rsidRDefault="00133BC5" w:rsidP="00133BC5">
            <w:pPr>
              <w:spacing w:after="0"/>
              <w:ind w:left="176" w:firstLine="391"/>
              <w:textAlignment w:val="top"/>
              <w:rPr>
                <w:rFonts w:ascii="Century" w:hAnsi="Century"/>
                <w:bCs/>
                <w:i/>
                <w:sz w:val="20"/>
                <w:szCs w:val="20"/>
                <w:lang w:eastAsia="ru-RU"/>
              </w:rPr>
            </w:pPr>
            <w:r>
              <w:rPr>
                <w:rFonts w:ascii="Century" w:hAnsi="Century"/>
                <w:bCs/>
                <w:sz w:val="20"/>
                <w:szCs w:val="20"/>
                <w:lang w:eastAsia="ru-RU"/>
              </w:rPr>
              <w:t>в том числе по государственным гарантиям</w:t>
            </w:r>
          </w:p>
        </w:tc>
        <w:tc>
          <w:tcPr>
            <w:tcW w:w="992" w:type="dxa"/>
            <w:tcBorders>
              <w:bottom w:val="single" w:sz="4" w:space="0" w:color="auto"/>
            </w:tcBorders>
            <w:shd w:val="clear" w:color="auto" w:fill="FFFFFF" w:themeFill="background1"/>
            <w:vAlign w:val="center"/>
          </w:tcPr>
          <w:p w:rsidR="00133BC5" w:rsidRPr="00B33069" w:rsidDel="0098532B" w:rsidRDefault="00133BC5" w:rsidP="00133BC5">
            <w:pPr>
              <w:spacing w:after="0"/>
              <w:contextualSpacing/>
              <w:jc w:val="center"/>
              <w:rPr>
                <w:rFonts w:ascii="Century" w:hAnsi="Century"/>
                <w:bCs/>
                <w:sz w:val="20"/>
                <w:szCs w:val="20"/>
              </w:rPr>
            </w:pPr>
            <w:r w:rsidRPr="00B33069">
              <w:rPr>
                <w:rFonts w:ascii="Century" w:hAnsi="Century"/>
                <w:bCs/>
                <w:sz w:val="20"/>
                <w:szCs w:val="20"/>
              </w:rPr>
              <w:t>1 417</w:t>
            </w:r>
          </w:p>
        </w:tc>
        <w:tc>
          <w:tcPr>
            <w:tcW w:w="992" w:type="dxa"/>
            <w:tcBorders>
              <w:bottom w:val="single" w:sz="4" w:space="0" w:color="auto"/>
            </w:tcBorders>
            <w:shd w:val="clear" w:color="auto" w:fill="FFFFFF" w:themeFill="background1"/>
            <w:vAlign w:val="center"/>
          </w:tcPr>
          <w:p w:rsidR="00133BC5" w:rsidRPr="00B33069" w:rsidRDefault="00133BC5" w:rsidP="00133BC5">
            <w:pPr>
              <w:spacing w:after="0"/>
              <w:contextualSpacing/>
              <w:jc w:val="center"/>
              <w:rPr>
                <w:rFonts w:ascii="Century" w:hAnsi="Century"/>
                <w:bCs/>
                <w:sz w:val="20"/>
                <w:szCs w:val="20"/>
              </w:rPr>
            </w:pPr>
            <w:r w:rsidRPr="00B33069">
              <w:rPr>
                <w:rFonts w:ascii="Century" w:hAnsi="Century"/>
                <w:bCs/>
                <w:sz w:val="20"/>
                <w:szCs w:val="20"/>
              </w:rPr>
              <w:t>1 530</w:t>
            </w:r>
          </w:p>
        </w:tc>
        <w:tc>
          <w:tcPr>
            <w:tcW w:w="992" w:type="dxa"/>
            <w:tcBorders>
              <w:bottom w:val="single" w:sz="4" w:space="0" w:color="auto"/>
            </w:tcBorders>
            <w:shd w:val="clear" w:color="auto" w:fill="FFFFFF" w:themeFill="background1"/>
            <w:vAlign w:val="center"/>
          </w:tcPr>
          <w:p w:rsidR="00133BC5" w:rsidRPr="00B33069" w:rsidDel="0098532B" w:rsidRDefault="00133BC5" w:rsidP="00133BC5">
            <w:pPr>
              <w:spacing w:after="0"/>
              <w:contextualSpacing/>
              <w:jc w:val="center"/>
              <w:rPr>
                <w:rFonts w:ascii="Century" w:hAnsi="Century"/>
                <w:bCs/>
                <w:sz w:val="20"/>
                <w:szCs w:val="20"/>
              </w:rPr>
            </w:pPr>
            <w:r w:rsidRPr="00B33069">
              <w:rPr>
                <w:rFonts w:ascii="Century" w:hAnsi="Century"/>
                <w:bCs/>
                <w:sz w:val="20"/>
                <w:szCs w:val="20"/>
              </w:rPr>
              <w:t>1 619</w:t>
            </w:r>
          </w:p>
        </w:tc>
        <w:tc>
          <w:tcPr>
            <w:tcW w:w="992" w:type="dxa"/>
            <w:tcBorders>
              <w:bottom w:val="single" w:sz="4" w:space="0" w:color="auto"/>
            </w:tcBorders>
            <w:shd w:val="clear" w:color="auto" w:fill="FFFFFF" w:themeFill="background1"/>
            <w:vAlign w:val="center"/>
          </w:tcPr>
          <w:p w:rsidR="00133BC5" w:rsidRPr="00B33069" w:rsidDel="0098532B" w:rsidRDefault="00133BC5" w:rsidP="00133BC5">
            <w:pPr>
              <w:spacing w:after="0"/>
              <w:contextualSpacing/>
              <w:jc w:val="center"/>
              <w:rPr>
                <w:rFonts w:ascii="Century" w:hAnsi="Century"/>
                <w:bCs/>
                <w:sz w:val="20"/>
                <w:szCs w:val="20"/>
              </w:rPr>
            </w:pPr>
            <w:r w:rsidRPr="00B33069">
              <w:rPr>
                <w:rFonts w:ascii="Century" w:hAnsi="Century"/>
                <w:bCs/>
                <w:sz w:val="20"/>
                <w:szCs w:val="20"/>
              </w:rPr>
              <w:t>1 691</w:t>
            </w:r>
          </w:p>
        </w:tc>
      </w:tr>
    </w:tbl>
    <w:p w:rsidR="00133BC5" w:rsidRPr="00920E8A" w:rsidRDefault="00133BC5" w:rsidP="00133BC5"/>
    <w:p w:rsidR="00133BC5" w:rsidRPr="00920E8A" w:rsidRDefault="00133BC5" w:rsidP="00133BC5">
      <w:pPr>
        <w:pStyle w:val="20"/>
        <w:numPr>
          <w:ilvl w:val="1"/>
          <w:numId w:val="3"/>
        </w:numPr>
        <w:spacing w:before="240" w:after="240"/>
        <w:rPr>
          <w:rFonts w:ascii="Times New Roman" w:hAnsi="Times New Roman"/>
          <w:sz w:val="28"/>
          <w:szCs w:val="28"/>
        </w:rPr>
      </w:pPr>
      <w:bookmarkStart w:id="28" w:name="_Toc486933331"/>
      <w:bookmarkStart w:id="29" w:name="_Toc518648660"/>
      <w:r w:rsidRPr="00920E8A">
        <w:rPr>
          <w:rFonts w:ascii="Times New Roman" w:hAnsi="Times New Roman"/>
          <w:sz w:val="28"/>
          <w:szCs w:val="28"/>
        </w:rPr>
        <w:t>БЮДЖЕТЫ СУБЪЕКТОВ</w:t>
      </w:r>
      <w:bookmarkEnd w:id="28"/>
      <w:r w:rsidRPr="00920E8A">
        <w:rPr>
          <w:rFonts w:ascii="Times New Roman" w:hAnsi="Times New Roman"/>
          <w:sz w:val="28"/>
          <w:szCs w:val="28"/>
        </w:rPr>
        <w:t xml:space="preserve"> РОССИЙСКОЙ ФЕДЕРАЦИИ</w:t>
      </w:r>
      <w:bookmarkEnd w:id="29"/>
    </w:p>
    <w:p w:rsidR="00133BC5" w:rsidRPr="00133BC5" w:rsidRDefault="00133BC5" w:rsidP="006A22F2">
      <w:pPr>
        <w:spacing w:after="120"/>
        <w:jc w:val="both"/>
        <w:rPr>
          <w:rFonts w:ascii="Times New Roman" w:hAnsi="Times New Roman"/>
          <w:sz w:val="24"/>
        </w:rPr>
      </w:pPr>
      <w:r w:rsidRPr="00133BC5">
        <w:rPr>
          <w:rFonts w:ascii="Times New Roman" w:hAnsi="Times New Roman"/>
          <w:sz w:val="24"/>
        </w:rPr>
        <w:t>Реализация в 2019-2020 гг. бюджетной политики в сфере межбюджетных отношений, направленной на достижение основных целей и решение задач, обозначенных в разделе 3.</w:t>
      </w:r>
      <w:r w:rsidR="005C78A3">
        <w:rPr>
          <w:rFonts w:ascii="Times New Roman" w:hAnsi="Times New Roman"/>
          <w:sz w:val="24"/>
        </w:rPr>
        <w:t>2</w:t>
      </w:r>
      <w:r w:rsidRPr="00133BC5">
        <w:rPr>
          <w:rFonts w:ascii="Times New Roman" w:hAnsi="Times New Roman"/>
          <w:sz w:val="24"/>
        </w:rPr>
        <w:t>, позволит стабилизировать дефицит консолидированных бюджетов субъектов в пределах 0,1% ВВП.</w:t>
      </w:r>
    </w:p>
    <w:p w:rsidR="00133BC5" w:rsidRPr="00133BC5" w:rsidRDefault="00133BC5" w:rsidP="006A22F2">
      <w:pPr>
        <w:spacing w:after="120"/>
        <w:jc w:val="both"/>
        <w:rPr>
          <w:rFonts w:ascii="Times New Roman" w:hAnsi="Times New Roman"/>
          <w:sz w:val="24"/>
        </w:rPr>
      </w:pPr>
      <w:r w:rsidRPr="00133BC5">
        <w:rPr>
          <w:rFonts w:ascii="Times New Roman" w:hAnsi="Times New Roman"/>
          <w:sz w:val="24"/>
        </w:rPr>
        <w:t>Параметры консолидированных бюджетов субъектов Российской Федерации на 2019-2021 годы будут определяться с учетом задач, обозначенных в Указе Президента Российской Федерации от 7 мая 2018 г. № 204, который в отличие от майских указов 2012 г. не предполагает увеличение нефинансируемых мандатов регионов.</w:t>
      </w:r>
    </w:p>
    <w:p w:rsidR="00133BC5" w:rsidRPr="00133BC5" w:rsidRDefault="00133BC5" w:rsidP="006A22F2">
      <w:pPr>
        <w:spacing w:after="120"/>
        <w:jc w:val="both"/>
        <w:rPr>
          <w:rFonts w:ascii="Times New Roman" w:hAnsi="Times New Roman"/>
          <w:bCs/>
          <w:sz w:val="24"/>
          <w:szCs w:val="28"/>
        </w:rPr>
      </w:pPr>
      <w:r w:rsidRPr="00133BC5">
        <w:rPr>
          <w:rFonts w:ascii="Times New Roman" w:hAnsi="Times New Roman"/>
          <w:b/>
          <w:sz w:val="24"/>
        </w:rPr>
        <w:t>Таблица 4.2.1.</w:t>
      </w:r>
      <w:r w:rsidRPr="00133BC5">
        <w:rPr>
          <w:rFonts w:ascii="Times New Roman" w:hAnsi="Times New Roman"/>
          <w:sz w:val="24"/>
        </w:rPr>
        <w:t xml:space="preserve"> О</w:t>
      </w:r>
      <w:r w:rsidRPr="00133BC5">
        <w:rPr>
          <w:rFonts w:ascii="Times New Roman" w:hAnsi="Times New Roman"/>
          <w:bCs/>
          <w:sz w:val="24"/>
          <w:szCs w:val="28"/>
        </w:rPr>
        <w:t xml:space="preserve">сновные параметры консолидированных бюджетов субъектов в 2018-2021 годах </w:t>
      </w:r>
    </w:p>
    <w:p w:rsidR="00133BC5" w:rsidRPr="00920E8A" w:rsidRDefault="00133BC5" w:rsidP="00133BC5">
      <w:pPr>
        <w:autoSpaceDE w:val="0"/>
        <w:autoSpaceDN w:val="0"/>
        <w:adjustRightInd w:val="0"/>
        <w:spacing w:after="0"/>
        <w:jc w:val="right"/>
        <w:rPr>
          <w:i/>
          <w:szCs w:val="28"/>
        </w:rPr>
      </w:pPr>
      <w:r w:rsidRPr="00920E8A">
        <w:rPr>
          <w:i/>
          <w:szCs w:val="28"/>
        </w:rPr>
        <w:t>млрд рублей</w:t>
      </w:r>
    </w:p>
    <w:tbl>
      <w:tblPr>
        <w:tblW w:w="9146" w:type="dxa"/>
        <w:tblLayout w:type="fixed"/>
        <w:tblLook w:val="00A0" w:firstRow="1" w:lastRow="0" w:firstColumn="1" w:lastColumn="0" w:noHBand="0" w:noVBand="0"/>
      </w:tblPr>
      <w:tblGrid>
        <w:gridCol w:w="5070"/>
        <w:gridCol w:w="1019"/>
        <w:gridCol w:w="1019"/>
        <w:gridCol w:w="1019"/>
        <w:gridCol w:w="1019"/>
      </w:tblGrid>
      <w:tr w:rsidR="00133BC5" w:rsidRPr="00920E8A" w:rsidTr="006A22F2">
        <w:trPr>
          <w:trHeight w:val="397"/>
        </w:trPr>
        <w:tc>
          <w:tcPr>
            <w:tcW w:w="5070" w:type="dxa"/>
            <w:tcBorders>
              <w:top w:val="nil"/>
              <w:left w:val="nil"/>
              <w:bottom w:val="single" w:sz="4" w:space="0" w:color="auto"/>
              <w:right w:val="nil"/>
            </w:tcBorders>
          </w:tcPr>
          <w:p w:rsidR="00133BC5" w:rsidRPr="006A22F2" w:rsidRDefault="00133BC5" w:rsidP="00133BC5">
            <w:pPr>
              <w:spacing w:line="240" w:lineRule="auto"/>
              <w:rPr>
                <w:rFonts w:ascii="Century" w:hAnsi="Century"/>
                <w:b/>
                <w:bCs/>
              </w:rPr>
            </w:pPr>
            <w:r w:rsidRPr="006A22F2">
              <w:rPr>
                <w:rFonts w:ascii="Century" w:hAnsi="Century"/>
                <w:b/>
                <w:bCs/>
              </w:rPr>
              <w:t>Показатель</w:t>
            </w:r>
          </w:p>
        </w:tc>
        <w:tc>
          <w:tcPr>
            <w:tcW w:w="1019" w:type="dxa"/>
            <w:tcBorders>
              <w:top w:val="nil"/>
              <w:left w:val="nil"/>
              <w:bottom w:val="single" w:sz="4" w:space="0" w:color="auto"/>
              <w:right w:val="nil"/>
            </w:tcBorders>
          </w:tcPr>
          <w:p w:rsidR="00133BC5" w:rsidRPr="006A22F2" w:rsidRDefault="00133BC5" w:rsidP="00133BC5">
            <w:pPr>
              <w:spacing w:line="240" w:lineRule="auto"/>
              <w:jc w:val="center"/>
              <w:rPr>
                <w:rFonts w:ascii="Century" w:hAnsi="Century"/>
                <w:b/>
                <w:bCs/>
              </w:rPr>
            </w:pPr>
            <w:r w:rsidRPr="006A22F2">
              <w:rPr>
                <w:rFonts w:ascii="Century" w:hAnsi="Century"/>
                <w:b/>
                <w:bCs/>
              </w:rPr>
              <w:t>2018</w:t>
            </w:r>
          </w:p>
        </w:tc>
        <w:tc>
          <w:tcPr>
            <w:tcW w:w="1019" w:type="dxa"/>
            <w:tcBorders>
              <w:top w:val="nil"/>
              <w:left w:val="nil"/>
              <w:bottom w:val="single" w:sz="4" w:space="0" w:color="auto"/>
              <w:right w:val="nil"/>
            </w:tcBorders>
          </w:tcPr>
          <w:p w:rsidR="00133BC5" w:rsidRPr="006A22F2" w:rsidRDefault="00133BC5" w:rsidP="00133BC5">
            <w:pPr>
              <w:spacing w:line="240" w:lineRule="auto"/>
              <w:jc w:val="center"/>
              <w:rPr>
                <w:rFonts w:ascii="Century" w:hAnsi="Century"/>
                <w:b/>
                <w:bCs/>
              </w:rPr>
            </w:pPr>
            <w:r w:rsidRPr="006A22F2">
              <w:rPr>
                <w:rFonts w:ascii="Century" w:hAnsi="Century"/>
                <w:b/>
                <w:bCs/>
              </w:rPr>
              <w:t>2019</w:t>
            </w:r>
          </w:p>
        </w:tc>
        <w:tc>
          <w:tcPr>
            <w:tcW w:w="1019" w:type="dxa"/>
            <w:tcBorders>
              <w:top w:val="nil"/>
              <w:left w:val="nil"/>
              <w:bottom w:val="single" w:sz="4" w:space="0" w:color="auto"/>
              <w:right w:val="nil"/>
            </w:tcBorders>
          </w:tcPr>
          <w:p w:rsidR="00133BC5" w:rsidRPr="006A22F2" w:rsidRDefault="00133BC5" w:rsidP="00133BC5">
            <w:pPr>
              <w:spacing w:line="240" w:lineRule="auto"/>
              <w:jc w:val="center"/>
              <w:rPr>
                <w:rFonts w:ascii="Century" w:hAnsi="Century"/>
                <w:b/>
                <w:bCs/>
              </w:rPr>
            </w:pPr>
            <w:r w:rsidRPr="006A22F2">
              <w:rPr>
                <w:rFonts w:ascii="Century" w:hAnsi="Century"/>
                <w:b/>
                <w:bCs/>
              </w:rPr>
              <w:t>2020</w:t>
            </w:r>
          </w:p>
        </w:tc>
        <w:tc>
          <w:tcPr>
            <w:tcW w:w="1019" w:type="dxa"/>
            <w:tcBorders>
              <w:top w:val="nil"/>
              <w:left w:val="nil"/>
              <w:bottom w:val="single" w:sz="4" w:space="0" w:color="auto"/>
              <w:right w:val="nil"/>
            </w:tcBorders>
          </w:tcPr>
          <w:p w:rsidR="00133BC5" w:rsidRPr="006A22F2" w:rsidRDefault="00133BC5" w:rsidP="00133BC5">
            <w:pPr>
              <w:spacing w:line="240" w:lineRule="auto"/>
              <w:jc w:val="center"/>
              <w:rPr>
                <w:rFonts w:ascii="Century" w:hAnsi="Century"/>
                <w:b/>
                <w:bCs/>
              </w:rPr>
            </w:pPr>
            <w:r w:rsidRPr="006A22F2">
              <w:rPr>
                <w:rFonts w:ascii="Century" w:hAnsi="Century"/>
                <w:b/>
                <w:bCs/>
              </w:rPr>
              <w:t>2021</w:t>
            </w:r>
          </w:p>
        </w:tc>
      </w:tr>
      <w:tr w:rsidR="00133BC5" w:rsidRPr="00920E8A" w:rsidTr="006A22F2">
        <w:trPr>
          <w:trHeight w:val="397"/>
        </w:trPr>
        <w:tc>
          <w:tcPr>
            <w:tcW w:w="5070" w:type="dxa"/>
            <w:tcBorders>
              <w:top w:val="single" w:sz="4" w:space="0" w:color="auto"/>
              <w:left w:val="nil"/>
              <w:bottom w:val="nil"/>
              <w:right w:val="nil"/>
            </w:tcBorders>
            <w:shd w:val="clear" w:color="auto" w:fill="F2F2F2"/>
            <w:vAlign w:val="center"/>
          </w:tcPr>
          <w:p w:rsidR="00133BC5" w:rsidRPr="007A0937" w:rsidRDefault="00133BC5" w:rsidP="00133BC5">
            <w:pPr>
              <w:spacing w:after="0" w:line="240" w:lineRule="auto"/>
              <w:rPr>
                <w:rFonts w:ascii="Century" w:hAnsi="Century"/>
                <w:b/>
                <w:bCs/>
                <w:sz w:val="20"/>
                <w:szCs w:val="20"/>
                <w:lang w:eastAsia="ru-RU"/>
              </w:rPr>
            </w:pPr>
            <w:r w:rsidRPr="007A0937">
              <w:rPr>
                <w:rFonts w:ascii="Century" w:hAnsi="Century"/>
                <w:sz w:val="20"/>
                <w:szCs w:val="20"/>
                <w:lang w:eastAsia="ru-RU"/>
              </w:rPr>
              <w:t>Доходы</w:t>
            </w:r>
          </w:p>
        </w:tc>
        <w:tc>
          <w:tcPr>
            <w:tcW w:w="1019" w:type="dxa"/>
            <w:tcBorders>
              <w:top w:val="single" w:sz="4" w:space="0" w:color="auto"/>
              <w:left w:val="nil"/>
              <w:bottom w:val="nil"/>
              <w:right w:val="nil"/>
            </w:tcBorders>
            <w:shd w:val="clear" w:color="auto" w:fill="F2F2F2"/>
            <w:vAlign w:val="center"/>
          </w:tcPr>
          <w:p w:rsidR="00133BC5" w:rsidRPr="00BD3519" w:rsidRDefault="00133BC5" w:rsidP="00133BC5">
            <w:pPr>
              <w:spacing w:after="0" w:line="240" w:lineRule="auto"/>
              <w:contextualSpacing/>
              <w:jc w:val="right"/>
              <w:rPr>
                <w:rFonts w:ascii="Century" w:hAnsi="Century"/>
                <w:b/>
                <w:sz w:val="20"/>
                <w:szCs w:val="20"/>
              </w:rPr>
            </w:pPr>
            <w:r>
              <w:rPr>
                <w:rFonts w:ascii="Century" w:hAnsi="Century"/>
                <w:b/>
                <w:sz w:val="20"/>
                <w:szCs w:val="20"/>
              </w:rPr>
              <w:t>11 579</w:t>
            </w:r>
          </w:p>
        </w:tc>
        <w:tc>
          <w:tcPr>
            <w:tcW w:w="1019" w:type="dxa"/>
            <w:tcBorders>
              <w:top w:val="single" w:sz="4" w:space="0" w:color="auto"/>
              <w:left w:val="nil"/>
              <w:bottom w:val="nil"/>
              <w:right w:val="nil"/>
            </w:tcBorders>
            <w:shd w:val="clear" w:color="auto" w:fill="F2F2F2"/>
            <w:vAlign w:val="center"/>
          </w:tcPr>
          <w:p w:rsidR="00133BC5" w:rsidRPr="00BD3519" w:rsidRDefault="00133BC5" w:rsidP="00133BC5">
            <w:pPr>
              <w:spacing w:after="0" w:line="240" w:lineRule="auto"/>
              <w:contextualSpacing/>
              <w:jc w:val="right"/>
              <w:rPr>
                <w:rFonts w:ascii="Century" w:hAnsi="Century"/>
                <w:b/>
                <w:sz w:val="20"/>
                <w:szCs w:val="20"/>
              </w:rPr>
            </w:pPr>
            <w:r>
              <w:rPr>
                <w:rFonts w:ascii="Century" w:hAnsi="Century"/>
                <w:b/>
                <w:sz w:val="20"/>
                <w:szCs w:val="20"/>
              </w:rPr>
              <w:t>12 110</w:t>
            </w:r>
          </w:p>
        </w:tc>
        <w:tc>
          <w:tcPr>
            <w:tcW w:w="1019" w:type="dxa"/>
            <w:tcBorders>
              <w:top w:val="single" w:sz="4" w:space="0" w:color="auto"/>
              <w:left w:val="nil"/>
              <w:bottom w:val="nil"/>
              <w:right w:val="nil"/>
            </w:tcBorders>
            <w:shd w:val="clear" w:color="auto" w:fill="F2F2F2"/>
            <w:vAlign w:val="center"/>
          </w:tcPr>
          <w:p w:rsidR="00133BC5" w:rsidRPr="00BD3519" w:rsidRDefault="00133BC5" w:rsidP="00133BC5">
            <w:pPr>
              <w:spacing w:after="0" w:line="240" w:lineRule="auto"/>
              <w:contextualSpacing/>
              <w:jc w:val="right"/>
              <w:rPr>
                <w:rFonts w:ascii="Century" w:hAnsi="Century"/>
                <w:b/>
                <w:sz w:val="20"/>
                <w:szCs w:val="20"/>
              </w:rPr>
            </w:pPr>
            <w:r>
              <w:rPr>
                <w:rFonts w:ascii="Century" w:hAnsi="Century"/>
                <w:b/>
                <w:sz w:val="20"/>
                <w:szCs w:val="20"/>
              </w:rPr>
              <w:t>12 723</w:t>
            </w:r>
          </w:p>
        </w:tc>
        <w:tc>
          <w:tcPr>
            <w:tcW w:w="1019" w:type="dxa"/>
            <w:tcBorders>
              <w:top w:val="single" w:sz="4" w:space="0" w:color="auto"/>
              <w:left w:val="nil"/>
              <w:bottom w:val="nil"/>
              <w:right w:val="nil"/>
            </w:tcBorders>
            <w:shd w:val="clear" w:color="auto" w:fill="F2F2F2"/>
            <w:vAlign w:val="center"/>
          </w:tcPr>
          <w:p w:rsidR="00133BC5" w:rsidRPr="00BD3519" w:rsidRDefault="00133BC5" w:rsidP="00133BC5">
            <w:pPr>
              <w:spacing w:after="0" w:line="240" w:lineRule="auto"/>
              <w:contextualSpacing/>
              <w:jc w:val="right"/>
              <w:rPr>
                <w:rFonts w:ascii="Century" w:hAnsi="Century"/>
                <w:b/>
                <w:sz w:val="20"/>
                <w:szCs w:val="20"/>
              </w:rPr>
            </w:pPr>
            <w:r>
              <w:rPr>
                <w:rFonts w:ascii="Century" w:hAnsi="Century"/>
                <w:b/>
                <w:sz w:val="20"/>
                <w:szCs w:val="20"/>
              </w:rPr>
              <w:t>13 428</w:t>
            </w:r>
          </w:p>
        </w:tc>
      </w:tr>
      <w:tr w:rsidR="00133BC5" w:rsidRPr="00920E8A" w:rsidTr="006A22F2">
        <w:trPr>
          <w:trHeight w:val="397"/>
        </w:trPr>
        <w:tc>
          <w:tcPr>
            <w:tcW w:w="5070" w:type="dxa"/>
            <w:vAlign w:val="center"/>
          </w:tcPr>
          <w:p w:rsidR="00133BC5" w:rsidRPr="007A0937" w:rsidRDefault="00133BC5" w:rsidP="00133BC5">
            <w:pPr>
              <w:spacing w:after="0" w:line="240" w:lineRule="auto"/>
              <w:rPr>
                <w:rFonts w:ascii="Century" w:hAnsi="Century"/>
                <w:b/>
                <w:bCs/>
                <w:sz w:val="20"/>
                <w:szCs w:val="20"/>
                <w:lang w:eastAsia="ru-RU"/>
              </w:rPr>
            </w:pPr>
            <w:r w:rsidRPr="007A0937">
              <w:rPr>
                <w:rFonts w:ascii="Century" w:hAnsi="Century"/>
                <w:bCs/>
                <w:i/>
                <w:iCs/>
                <w:sz w:val="20"/>
                <w:szCs w:val="20"/>
                <w:lang w:eastAsia="ru-RU"/>
              </w:rPr>
              <w:t>%% ВВП</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sidRPr="00276F18">
              <w:rPr>
                <w:rFonts w:ascii="Century" w:hAnsi="Century"/>
                <w:i/>
                <w:sz w:val="20"/>
                <w:szCs w:val="20"/>
              </w:rPr>
              <w:t>11,</w:t>
            </w:r>
            <w:r>
              <w:rPr>
                <w:rFonts w:ascii="Century" w:hAnsi="Century"/>
                <w:i/>
                <w:sz w:val="20"/>
                <w:szCs w:val="20"/>
              </w:rPr>
              <w:t>5</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Pr>
                <w:rFonts w:ascii="Century" w:hAnsi="Century"/>
                <w:i/>
                <w:sz w:val="20"/>
                <w:szCs w:val="20"/>
              </w:rPr>
              <w:t>11,4</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Pr>
                <w:rFonts w:ascii="Century" w:hAnsi="Century"/>
                <w:i/>
                <w:sz w:val="20"/>
                <w:szCs w:val="20"/>
              </w:rPr>
              <w:t>11,4</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Pr>
                <w:rFonts w:ascii="Century" w:hAnsi="Century"/>
                <w:i/>
                <w:sz w:val="20"/>
                <w:szCs w:val="20"/>
              </w:rPr>
              <w:t>11,3</w:t>
            </w:r>
          </w:p>
        </w:tc>
      </w:tr>
      <w:tr w:rsidR="00133BC5" w:rsidRPr="00920E8A" w:rsidTr="006A22F2">
        <w:trPr>
          <w:trHeight w:val="397"/>
        </w:trPr>
        <w:tc>
          <w:tcPr>
            <w:tcW w:w="5070" w:type="dxa"/>
            <w:shd w:val="clear" w:color="auto" w:fill="F2F2F2"/>
            <w:vAlign w:val="center"/>
          </w:tcPr>
          <w:p w:rsidR="00133BC5" w:rsidRPr="007A0937" w:rsidRDefault="00133BC5" w:rsidP="00133BC5">
            <w:pPr>
              <w:spacing w:after="0" w:line="240" w:lineRule="auto"/>
              <w:rPr>
                <w:rFonts w:ascii="Century" w:hAnsi="Century"/>
                <w:b/>
                <w:bCs/>
                <w:sz w:val="20"/>
                <w:szCs w:val="20"/>
                <w:lang w:eastAsia="ru-RU"/>
              </w:rPr>
            </w:pPr>
            <w:r w:rsidRPr="007A0937">
              <w:rPr>
                <w:rFonts w:ascii="Century" w:hAnsi="Century"/>
                <w:bCs/>
                <w:sz w:val="20"/>
                <w:szCs w:val="20"/>
                <w:lang w:eastAsia="ru-RU"/>
              </w:rPr>
              <w:t xml:space="preserve">     Собственные налоговые и неналоговые доходы</w:t>
            </w:r>
          </w:p>
        </w:tc>
        <w:tc>
          <w:tcPr>
            <w:tcW w:w="1019" w:type="dxa"/>
            <w:shd w:val="clear" w:color="auto" w:fill="F2F2F2"/>
            <w:vAlign w:val="center"/>
          </w:tcPr>
          <w:p w:rsidR="00133BC5" w:rsidRPr="00276F18" w:rsidRDefault="00133BC5" w:rsidP="00133BC5">
            <w:pPr>
              <w:spacing w:after="0" w:line="240" w:lineRule="auto"/>
              <w:contextualSpacing/>
              <w:jc w:val="right"/>
              <w:rPr>
                <w:rFonts w:ascii="Century" w:hAnsi="Century"/>
                <w:sz w:val="20"/>
                <w:szCs w:val="20"/>
              </w:rPr>
            </w:pPr>
            <w:r>
              <w:rPr>
                <w:rFonts w:ascii="Century" w:hAnsi="Century"/>
                <w:sz w:val="20"/>
                <w:szCs w:val="20"/>
              </w:rPr>
              <w:t>9</w:t>
            </w:r>
            <w:r w:rsidRPr="00276F18">
              <w:rPr>
                <w:rFonts w:ascii="Century" w:hAnsi="Century"/>
                <w:sz w:val="20"/>
                <w:szCs w:val="20"/>
              </w:rPr>
              <w:t xml:space="preserve"> </w:t>
            </w:r>
            <w:r>
              <w:rPr>
                <w:rFonts w:ascii="Century" w:hAnsi="Century"/>
                <w:sz w:val="20"/>
                <w:szCs w:val="20"/>
              </w:rPr>
              <w:t>859</w:t>
            </w:r>
          </w:p>
        </w:tc>
        <w:tc>
          <w:tcPr>
            <w:tcW w:w="1019" w:type="dxa"/>
            <w:shd w:val="clear" w:color="auto" w:fill="F2F2F2"/>
            <w:vAlign w:val="center"/>
          </w:tcPr>
          <w:p w:rsidR="00133BC5" w:rsidRPr="00276F18" w:rsidRDefault="00133BC5" w:rsidP="00133BC5">
            <w:pPr>
              <w:spacing w:after="0" w:line="240" w:lineRule="auto"/>
              <w:contextualSpacing/>
              <w:jc w:val="right"/>
              <w:rPr>
                <w:rFonts w:ascii="Century" w:hAnsi="Century"/>
                <w:sz w:val="20"/>
                <w:szCs w:val="20"/>
              </w:rPr>
            </w:pPr>
            <w:r>
              <w:rPr>
                <w:rFonts w:ascii="Century" w:hAnsi="Century"/>
                <w:sz w:val="20"/>
                <w:szCs w:val="20"/>
              </w:rPr>
              <w:t>10</w:t>
            </w:r>
            <w:r w:rsidRPr="00276F18">
              <w:rPr>
                <w:rFonts w:ascii="Century" w:hAnsi="Century"/>
                <w:sz w:val="20"/>
                <w:szCs w:val="20"/>
              </w:rPr>
              <w:t xml:space="preserve"> </w:t>
            </w:r>
            <w:r>
              <w:rPr>
                <w:rFonts w:ascii="Century" w:hAnsi="Century"/>
                <w:sz w:val="20"/>
                <w:szCs w:val="20"/>
              </w:rPr>
              <w:t>331</w:t>
            </w:r>
          </w:p>
        </w:tc>
        <w:tc>
          <w:tcPr>
            <w:tcW w:w="1019" w:type="dxa"/>
            <w:shd w:val="clear" w:color="auto" w:fill="F2F2F2"/>
            <w:vAlign w:val="center"/>
          </w:tcPr>
          <w:p w:rsidR="00133BC5" w:rsidRPr="00276F18" w:rsidRDefault="00133BC5" w:rsidP="00133BC5">
            <w:pPr>
              <w:spacing w:after="0" w:line="240" w:lineRule="auto"/>
              <w:contextualSpacing/>
              <w:jc w:val="right"/>
              <w:rPr>
                <w:rFonts w:ascii="Century" w:hAnsi="Century"/>
                <w:sz w:val="20"/>
                <w:szCs w:val="20"/>
              </w:rPr>
            </w:pPr>
            <w:r w:rsidRPr="00276F18">
              <w:rPr>
                <w:rFonts w:ascii="Century" w:hAnsi="Century"/>
                <w:sz w:val="20"/>
                <w:szCs w:val="20"/>
              </w:rPr>
              <w:t xml:space="preserve">10 </w:t>
            </w:r>
            <w:r>
              <w:rPr>
                <w:rFonts w:ascii="Century" w:hAnsi="Century"/>
                <w:sz w:val="20"/>
                <w:szCs w:val="20"/>
              </w:rPr>
              <w:t>962</w:t>
            </w:r>
          </w:p>
        </w:tc>
        <w:tc>
          <w:tcPr>
            <w:tcW w:w="1019" w:type="dxa"/>
            <w:shd w:val="clear" w:color="auto" w:fill="F2F2F2"/>
            <w:vAlign w:val="center"/>
          </w:tcPr>
          <w:p w:rsidR="00133BC5" w:rsidRPr="00276F18" w:rsidRDefault="00133BC5" w:rsidP="00133BC5">
            <w:pPr>
              <w:spacing w:after="0" w:line="240" w:lineRule="auto"/>
              <w:contextualSpacing/>
              <w:jc w:val="right"/>
              <w:rPr>
                <w:rFonts w:ascii="Century" w:hAnsi="Century"/>
                <w:sz w:val="20"/>
                <w:szCs w:val="20"/>
              </w:rPr>
            </w:pPr>
            <w:r w:rsidRPr="00276F18">
              <w:rPr>
                <w:rFonts w:ascii="Century" w:hAnsi="Century"/>
                <w:sz w:val="20"/>
                <w:szCs w:val="20"/>
              </w:rPr>
              <w:t>1</w:t>
            </w:r>
            <w:r>
              <w:rPr>
                <w:rFonts w:ascii="Century" w:hAnsi="Century"/>
                <w:sz w:val="20"/>
                <w:szCs w:val="20"/>
              </w:rPr>
              <w:t>1</w:t>
            </w:r>
            <w:r w:rsidRPr="00276F18">
              <w:rPr>
                <w:rFonts w:ascii="Century" w:hAnsi="Century"/>
                <w:sz w:val="20"/>
                <w:szCs w:val="20"/>
              </w:rPr>
              <w:t xml:space="preserve"> </w:t>
            </w:r>
            <w:r>
              <w:rPr>
                <w:rFonts w:ascii="Century" w:hAnsi="Century"/>
                <w:sz w:val="20"/>
                <w:szCs w:val="20"/>
              </w:rPr>
              <w:t>763</w:t>
            </w:r>
          </w:p>
        </w:tc>
      </w:tr>
      <w:tr w:rsidR="00133BC5" w:rsidRPr="00920E8A" w:rsidTr="006A22F2">
        <w:trPr>
          <w:trHeight w:val="397"/>
        </w:trPr>
        <w:tc>
          <w:tcPr>
            <w:tcW w:w="5070" w:type="dxa"/>
            <w:vAlign w:val="center"/>
          </w:tcPr>
          <w:p w:rsidR="00133BC5" w:rsidRPr="007A0937" w:rsidRDefault="00133BC5" w:rsidP="00133BC5">
            <w:pPr>
              <w:spacing w:after="0" w:line="240" w:lineRule="auto"/>
              <w:rPr>
                <w:rFonts w:ascii="Century" w:hAnsi="Century"/>
                <w:b/>
                <w:bCs/>
                <w:sz w:val="20"/>
                <w:szCs w:val="20"/>
                <w:lang w:eastAsia="ru-RU"/>
              </w:rPr>
            </w:pPr>
            <w:r w:rsidRPr="007A0937">
              <w:rPr>
                <w:rFonts w:ascii="Century" w:hAnsi="Century"/>
                <w:bCs/>
                <w:i/>
                <w:iCs/>
                <w:sz w:val="20"/>
                <w:szCs w:val="20"/>
                <w:lang w:eastAsia="ru-RU"/>
              </w:rPr>
              <w:t xml:space="preserve">    %% ВВП</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sidRPr="00276F18">
              <w:rPr>
                <w:rFonts w:ascii="Century" w:hAnsi="Century"/>
                <w:i/>
                <w:sz w:val="20"/>
                <w:szCs w:val="20"/>
              </w:rPr>
              <w:t>9,</w:t>
            </w:r>
            <w:r>
              <w:rPr>
                <w:rFonts w:ascii="Century" w:hAnsi="Century"/>
                <w:i/>
                <w:sz w:val="20"/>
                <w:szCs w:val="20"/>
              </w:rPr>
              <w:t>8</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sidRPr="00276F18">
              <w:rPr>
                <w:rFonts w:ascii="Century" w:hAnsi="Century"/>
                <w:i/>
                <w:sz w:val="20"/>
                <w:szCs w:val="20"/>
              </w:rPr>
              <w:t>9,</w:t>
            </w:r>
            <w:r>
              <w:rPr>
                <w:rFonts w:ascii="Century" w:hAnsi="Century"/>
                <w:i/>
                <w:sz w:val="20"/>
                <w:szCs w:val="20"/>
              </w:rPr>
              <w:t>7</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sidRPr="00276F18">
              <w:rPr>
                <w:rFonts w:ascii="Century" w:hAnsi="Century"/>
                <w:i/>
                <w:sz w:val="20"/>
                <w:szCs w:val="20"/>
              </w:rPr>
              <w:t>9,</w:t>
            </w:r>
            <w:r>
              <w:rPr>
                <w:rFonts w:ascii="Century" w:hAnsi="Century"/>
                <w:i/>
                <w:sz w:val="20"/>
                <w:szCs w:val="20"/>
              </w:rPr>
              <w:t>8</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sidRPr="00276F18">
              <w:rPr>
                <w:rFonts w:ascii="Century" w:hAnsi="Century"/>
                <w:i/>
                <w:sz w:val="20"/>
                <w:szCs w:val="20"/>
              </w:rPr>
              <w:t>9,</w:t>
            </w:r>
            <w:r>
              <w:rPr>
                <w:rFonts w:ascii="Century" w:hAnsi="Century"/>
                <w:i/>
                <w:sz w:val="20"/>
                <w:szCs w:val="20"/>
              </w:rPr>
              <w:t>9</w:t>
            </w:r>
          </w:p>
        </w:tc>
      </w:tr>
      <w:tr w:rsidR="00133BC5" w:rsidRPr="00920E8A" w:rsidTr="006A22F2">
        <w:trPr>
          <w:trHeight w:val="397"/>
        </w:trPr>
        <w:tc>
          <w:tcPr>
            <w:tcW w:w="5070" w:type="dxa"/>
            <w:shd w:val="clear" w:color="auto" w:fill="F2F2F2"/>
            <w:vAlign w:val="center"/>
          </w:tcPr>
          <w:p w:rsidR="00133BC5" w:rsidRPr="007A0937" w:rsidRDefault="00133BC5" w:rsidP="00133BC5">
            <w:pPr>
              <w:spacing w:after="0" w:line="240" w:lineRule="auto"/>
              <w:rPr>
                <w:rFonts w:ascii="Century" w:hAnsi="Century"/>
                <w:b/>
                <w:bCs/>
                <w:i/>
                <w:iCs/>
                <w:sz w:val="20"/>
                <w:szCs w:val="20"/>
                <w:lang w:eastAsia="ru-RU"/>
              </w:rPr>
            </w:pPr>
            <w:r w:rsidRPr="007A0937">
              <w:rPr>
                <w:rFonts w:ascii="Century" w:hAnsi="Century"/>
                <w:bCs/>
                <w:sz w:val="20"/>
                <w:szCs w:val="20"/>
                <w:lang w:eastAsia="ru-RU"/>
              </w:rPr>
              <w:t xml:space="preserve">     Межбюджетные трансферты</w:t>
            </w:r>
          </w:p>
        </w:tc>
        <w:tc>
          <w:tcPr>
            <w:tcW w:w="1019" w:type="dxa"/>
            <w:shd w:val="clear" w:color="auto" w:fill="F2F2F2"/>
            <w:vAlign w:val="center"/>
          </w:tcPr>
          <w:p w:rsidR="00133BC5" w:rsidRPr="00276F18" w:rsidRDefault="00133BC5" w:rsidP="00133BC5">
            <w:pPr>
              <w:spacing w:after="0" w:line="240" w:lineRule="auto"/>
              <w:contextualSpacing/>
              <w:jc w:val="right"/>
              <w:rPr>
                <w:rFonts w:ascii="Century" w:hAnsi="Century"/>
                <w:sz w:val="20"/>
                <w:szCs w:val="20"/>
              </w:rPr>
            </w:pPr>
            <w:r>
              <w:rPr>
                <w:rFonts w:ascii="Century" w:hAnsi="Century"/>
                <w:sz w:val="20"/>
                <w:szCs w:val="20"/>
              </w:rPr>
              <w:t>1 720</w:t>
            </w:r>
          </w:p>
        </w:tc>
        <w:tc>
          <w:tcPr>
            <w:tcW w:w="1019" w:type="dxa"/>
            <w:shd w:val="clear" w:color="auto" w:fill="F2F2F2"/>
            <w:vAlign w:val="center"/>
          </w:tcPr>
          <w:p w:rsidR="00133BC5" w:rsidRPr="00276F18" w:rsidRDefault="00133BC5" w:rsidP="00133BC5">
            <w:pPr>
              <w:spacing w:after="0" w:line="240" w:lineRule="auto"/>
              <w:contextualSpacing/>
              <w:jc w:val="right"/>
              <w:rPr>
                <w:rFonts w:ascii="Century" w:hAnsi="Century"/>
                <w:sz w:val="20"/>
                <w:szCs w:val="20"/>
              </w:rPr>
            </w:pPr>
            <w:r>
              <w:rPr>
                <w:rFonts w:ascii="Century" w:hAnsi="Century"/>
                <w:sz w:val="20"/>
                <w:szCs w:val="20"/>
              </w:rPr>
              <w:t>1 779</w:t>
            </w:r>
          </w:p>
        </w:tc>
        <w:tc>
          <w:tcPr>
            <w:tcW w:w="1019" w:type="dxa"/>
            <w:shd w:val="clear" w:color="auto" w:fill="F2F2F2"/>
            <w:vAlign w:val="center"/>
          </w:tcPr>
          <w:p w:rsidR="00133BC5" w:rsidRPr="00276F18" w:rsidRDefault="00133BC5" w:rsidP="00133BC5">
            <w:pPr>
              <w:spacing w:after="0" w:line="240" w:lineRule="auto"/>
              <w:contextualSpacing/>
              <w:jc w:val="right"/>
              <w:rPr>
                <w:rFonts w:ascii="Century" w:hAnsi="Century"/>
                <w:sz w:val="20"/>
                <w:szCs w:val="20"/>
              </w:rPr>
            </w:pPr>
            <w:r>
              <w:rPr>
                <w:rFonts w:ascii="Century" w:hAnsi="Century"/>
                <w:sz w:val="20"/>
                <w:szCs w:val="20"/>
              </w:rPr>
              <w:t>1 761</w:t>
            </w:r>
          </w:p>
        </w:tc>
        <w:tc>
          <w:tcPr>
            <w:tcW w:w="1019" w:type="dxa"/>
            <w:shd w:val="clear" w:color="auto" w:fill="F2F2F2"/>
            <w:vAlign w:val="center"/>
          </w:tcPr>
          <w:p w:rsidR="00133BC5" w:rsidRPr="00276F18" w:rsidRDefault="00133BC5" w:rsidP="00133BC5">
            <w:pPr>
              <w:spacing w:after="0" w:line="240" w:lineRule="auto"/>
              <w:contextualSpacing/>
              <w:jc w:val="right"/>
              <w:rPr>
                <w:rFonts w:ascii="Century" w:hAnsi="Century"/>
                <w:sz w:val="20"/>
                <w:szCs w:val="20"/>
              </w:rPr>
            </w:pPr>
            <w:r>
              <w:rPr>
                <w:rFonts w:ascii="Century" w:hAnsi="Century"/>
                <w:sz w:val="20"/>
                <w:szCs w:val="20"/>
              </w:rPr>
              <w:t>1 665</w:t>
            </w:r>
          </w:p>
        </w:tc>
      </w:tr>
      <w:tr w:rsidR="00133BC5" w:rsidRPr="00920E8A" w:rsidTr="006A22F2">
        <w:trPr>
          <w:trHeight w:val="397"/>
        </w:trPr>
        <w:tc>
          <w:tcPr>
            <w:tcW w:w="5070" w:type="dxa"/>
            <w:vAlign w:val="center"/>
          </w:tcPr>
          <w:p w:rsidR="00133BC5" w:rsidRPr="007A0937" w:rsidRDefault="00133BC5" w:rsidP="00133BC5">
            <w:pPr>
              <w:spacing w:after="0" w:line="240" w:lineRule="auto"/>
              <w:rPr>
                <w:rFonts w:ascii="Century" w:hAnsi="Century"/>
                <w:b/>
                <w:bCs/>
                <w:sz w:val="20"/>
                <w:szCs w:val="20"/>
                <w:lang w:eastAsia="ru-RU"/>
              </w:rPr>
            </w:pPr>
            <w:r w:rsidRPr="007A0937">
              <w:rPr>
                <w:rFonts w:ascii="Century" w:hAnsi="Century"/>
                <w:bCs/>
                <w:i/>
                <w:iCs/>
                <w:sz w:val="20"/>
                <w:szCs w:val="20"/>
                <w:lang w:eastAsia="ru-RU"/>
              </w:rPr>
              <w:t xml:space="preserve">    %% ВВП</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sidRPr="00276F18">
              <w:rPr>
                <w:rFonts w:ascii="Century" w:hAnsi="Century"/>
                <w:i/>
                <w:sz w:val="20"/>
                <w:szCs w:val="20"/>
              </w:rPr>
              <w:t>1,</w:t>
            </w:r>
            <w:r>
              <w:rPr>
                <w:rFonts w:ascii="Century" w:hAnsi="Century"/>
                <w:i/>
                <w:sz w:val="20"/>
                <w:szCs w:val="20"/>
              </w:rPr>
              <w:t>7</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Pr>
                <w:rFonts w:ascii="Century" w:hAnsi="Century"/>
                <w:i/>
                <w:sz w:val="20"/>
                <w:szCs w:val="20"/>
              </w:rPr>
              <w:t>1,7</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Pr>
                <w:rFonts w:ascii="Century" w:hAnsi="Century"/>
                <w:i/>
                <w:sz w:val="20"/>
                <w:szCs w:val="20"/>
              </w:rPr>
              <w:t>1,6</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Pr>
                <w:rFonts w:ascii="Century" w:hAnsi="Century"/>
                <w:i/>
                <w:sz w:val="20"/>
                <w:szCs w:val="20"/>
              </w:rPr>
              <w:t>1,4</w:t>
            </w:r>
          </w:p>
        </w:tc>
      </w:tr>
      <w:tr w:rsidR="00133BC5" w:rsidRPr="00920E8A" w:rsidTr="006A22F2">
        <w:trPr>
          <w:trHeight w:val="397"/>
        </w:trPr>
        <w:tc>
          <w:tcPr>
            <w:tcW w:w="5070" w:type="dxa"/>
            <w:shd w:val="clear" w:color="auto" w:fill="F2F2F2"/>
            <w:vAlign w:val="center"/>
          </w:tcPr>
          <w:p w:rsidR="00133BC5" w:rsidRPr="007A0937" w:rsidRDefault="00133BC5" w:rsidP="00133BC5">
            <w:pPr>
              <w:spacing w:after="0" w:line="240" w:lineRule="auto"/>
              <w:rPr>
                <w:rFonts w:ascii="Century" w:hAnsi="Century"/>
                <w:b/>
                <w:bCs/>
                <w:i/>
                <w:iCs/>
                <w:sz w:val="20"/>
                <w:szCs w:val="20"/>
                <w:lang w:eastAsia="ru-RU"/>
              </w:rPr>
            </w:pPr>
            <w:r w:rsidRPr="007A0937">
              <w:rPr>
                <w:rFonts w:ascii="Century" w:hAnsi="Century"/>
                <w:sz w:val="20"/>
                <w:szCs w:val="20"/>
                <w:lang w:eastAsia="ru-RU"/>
              </w:rPr>
              <w:t>Расходы</w:t>
            </w:r>
          </w:p>
        </w:tc>
        <w:tc>
          <w:tcPr>
            <w:tcW w:w="1019" w:type="dxa"/>
            <w:shd w:val="clear" w:color="auto" w:fill="F2F2F2"/>
            <w:vAlign w:val="center"/>
          </w:tcPr>
          <w:p w:rsidR="00133BC5" w:rsidRPr="00BD3519" w:rsidRDefault="00133BC5" w:rsidP="00133BC5">
            <w:pPr>
              <w:spacing w:after="0" w:line="240" w:lineRule="auto"/>
              <w:contextualSpacing/>
              <w:jc w:val="right"/>
              <w:rPr>
                <w:rFonts w:ascii="Century" w:hAnsi="Century"/>
                <w:b/>
                <w:sz w:val="20"/>
                <w:szCs w:val="20"/>
              </w:rPr>
            </w:pPr>
            <w:r w:rsidRPr="00BD3519">
              <w:rPr>
                <w:rFonts w:ascii="Century" w:hAnsi="Century"/>
                <w:b/>
                <w:sz w:val="20"/>
                <w:szCs w:val="20"/>
              </w:rPr>
              <w:t>1</w:t>
            </w:r>
            <w:r>
              <w:rPr>
                <w:rFonts w:ascii="Century" w:hAnsi="Century"/>
                <w:b/>
                <w:sz w:val="20"/>
                <w:szCs w:val="20"/>
              </w:rPr>
              <w:t>1</w:t>
            </w:r>
            <w:r w:rsidRPr="00BD3519">
              <w:rPr>
                <w:rFonts w:ascii="Century" w:hAnsi="Century"/>
                <w:b/>
                <w:sz w:val="20"/>
                <w:szCs w:val="20"/>
              </w:rPr>
              <w:t xml:space="preserve"> </w:t>
            </w:r>
            <w:r>
              <w:rPr>
                <w:rFonts w:ascii="Century" w:hAnsi="Century"/>
                <w:b/>
                <w:sz w:val="20"/>
                <w:szCs w:val="20"/>
              </w:rPr>
              <w:t>623</w:t>
            </w:r>
          </w:p>
        </w:tc>
        <w:tc>
          <w:tcPr>
            <w:tcW w:w="1019" w:type="dxa"/>
            <w:shd w:val="clear" w:color="auto" w:fill="F2F2F2"/>
            <w:vAlign w:val="center"/>
          </w:tcPr>
          <w:p w:rsidR="00133BC5" w:rsidRPr="00BD3519" w:rsidRDefault="00133BC5" w:rsidP="00133BC5">
            <w:pPr>
              <w:spacing w:after="0" w:line="240" w:lineRule="auto"/>
              <w:contextualSpacing/>
              <w:jc w:val="right"/>
              <w:rPr>
                <w:rFonts w:ascii="Century" w:hAnsi="Century"/>
                <w:b/>
                <w:sz w:val="20"/>
                <w:szCs w:val="20"/>
              </w:rPr>
            </w:pPr>
            <w:r>
              <w:rPr>
                <w:rFonts w:ascii="Century" w:hAnsi="Century"/>
                <w:b/>
                <w:sz w:val="20"/>
                <w:szCs w:val="20"/>
              </w:rPr>
              <w:t>12 206</w:t>
            </w:r>
          </w:p>
        </w:tc>
        <w:tc>
          <w:tcPr>
            <w:tcW w:w="1019" w:type="dxa"/>
            <w:shd w:val="clear" w:color="auto" w:fill="F2F2F2"/>
            <w:vAlign w:val="center"/>
          </w:tcPr>
          <w:p w:rsidR="00133BC5" w:rsidRPr="00BD3519" w:rsidRDefault="00133BC5" w:rsidP="00133BC5">
            <w:pPr>
              <w:spacing w:after="0" w:line="240" w:lineRule="auto"/>
              <w:contextualSpacing/>
              <w:jc w:val="right"/>
              <w:rPr>
                <w:rFonts w:ascii="Century" w:hAnsi="Century"/>
                <w:b/>
                <w:sz w:val="20"/>
                <w:szCs w:val="20"/>
              </w:rPr>
            </w:pPr>
            <w:r>
              <w:rPr>
                <w:rFonts w:ascii="Century" w:hAnsi="Century"/>
                <w:b/>
                <w:sz w:val="20"/>
                <w:szCs w:val="20"/>
              </w:rPr>
              <w:t>12 779</w:t>
            </w:r>
          </w:p>
        </w:tc>
        <w:tc>
          <w:tcPr>
            <w:tcW w:w="1019" w:type="dxa"/>
            <w:shd w:val="clear" w:color="auto" w:fill="F2F2F2"/>
            <w:vAlign w:val="center"/>
          </w:tcPr>
          <w:p w:rsidR="00133BC5" w:rsidRPr="00BD3519" w:rsidRDefault="00133BC5" w:rsidP="00133BC5">
            <w:pPr>
              <w:spacing w:after="0" w:line="240" w:lineRule="auto"/>
              <w:contextualSpacing/>
              <w:jc w:val="right"/>
              <w:rPr>
                <w:rFonts w:ascii="Century" w:hAnsi="Century"/>
                <w:b/>
                <w:sz w:val="20"/>
                <w:szCs w:val="20"/>
              </w:rPr>
            </w:pPr>
            <w:r>
              <w:rPr>
                <w:rFonts w:ascii="Century" w:hAnsi="Century"/>
                <w:b/>
                <w:sz w:val="20"/>
                <w:szCs w:val="20"/>
              </w:rPr>
              <w:t>13 464</w:t>
            </w:r>
          </w:p>
        </w:tc>
      </w:tr>
      <w:tr w:rsidR="00133BC5" w:rsidRPr="00920E8A" w:rsidTr="006A22F2">
        <w:trPr>
          <w:trHeight w:val="397"/>
        </w:trPr>
        <w:tc>
          <w:tcPr>
            <w:tcW w:w="5070" w:type="dxa"/>
            <w:vAlign w:val="center"/>
          </w:tcPr>
          <w:p w:rsidR="00133BC5" w:rsidRPr="007A0937" w:rsidRDefault="00133BC5" w:rsidP="00133BC5">
            <w:pPr>
              <w:spacing w:after="0" w:line="240" w:lineRule="auto"/>
              <w:rPr>
                <w:rFonts w:ascii="Century" w:hAnsi="Century"/>
                <w:b/>
                <w:bCs/>
                <w:sz w:val="20"/>
                <w:szCs w:val="20"/>
                <w:lang w:eastAsia="ru-RU"/>
              </w:rPr>
            </w:pPr>
            <w:r w:rsidRPr="007A0937">
              <w:rPr>
                <w:rFonts w:ascii="Century" w:hAnsi="Century"/>
                <w:bCs/>
                <w:i/>
                <w:iCs/>
                <w:sz w:val="20"/>
                <w:szCs w:val="20"/>
                <w:lang w:eastAsia="ru-RU"/>
              </w:rPr>
              <w:lastRenderedPageBreak/>
              <w:t>%% ВВП</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sidRPr="00276F18">
              <w:rPr>
                <w:rFonts w:ascii="Century" w:hAnsi="Century"/>
                <w:i/>
                <w:sz w:val="20"/>
                <w:szCs w:val="20"/>
              </w:rPr>
              <w:t>11,6</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Pr>
                <w:rFonts w:ascii="Century" w:hAnsi="Century"/>
                <w:i/>
                <w:sz w:val="20"/>
                <w:szCs w:val="20"/>
              </w:rPr>
              <w:t>11,5</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Pr>
                <w:rFonts w:ascii="Century" w:hAnsi="Century"/>
                <w:i/>
                <w:sz w:val="20"/>
                <w:szCs w:val="20"/>
              </w:rPr>
              <w:t>11,5</w:t>
            </w:r>
          </w:p>
        </w:tc>
        <w:tc>
          <w:tcPr>
            <w:tcW w:w="1019" w:type="dxa"/>
            <w:vAlign w:val="center"/>
          </w:tcPr>
          <w:p w:rsidR="00133BC5" w:rsidRPr="00276F18" w:rsidRDefault="00133BC5" w:rsidP="00133BC5">
            <w:pPr>
              <w:spacing w:after="0" w:line="240" w:lineRule="auto"/>
              <w:contextualSpacing/>
              <w:jc w:val="right"/>
              <w:rPr>
                <w:rFonts w:ascii="Century" w:hAnsi="Century"/>
                <w:i/>
                <w:sz w:val="20"/>
                <w:szCs w:val="20"/>
              </w:rPr>
            </w:pPr>
            <w:r>
              <w:rPr>
                <w:rFonts w:ascii="Century" w:hAnsi="Century"/>
                <w:i/>
                <w:sz w:val="20"/>
                <w:szCs w:val="20"/>
              </w:rPr>
              <w:t>11,3</w:t>
            </w:r>
          </w:p>
        </w:tc>
      </w:tr>
      <w:tr w:rsidR="00133BC5" w:rsidRPr="00920E8A" w:rsidTr="006A22F2">
        <w:trPr>
          <w:trHeight w:val="397"/>
        </w:trPr>
        <w:tc>
          <w:tcPr>
            <w:tcW w:w="5070" w:type="dxa"/>
            <w:shd w:val="clear" w:color="auto" w:fill="F2F2F2"/>
            <w:vAlign w:val="center"/>
          </w:tcPr>
          <w:p w:rsidR="00133BC5" w:rsidRPr="007A0937" w:rsidRDefault="00133BC5" w:rsidP="00133BC5">
            <w:pPr>
              <w:spacing w:after="0" w:line="240" w:lineRule="auto"/>
              <w:rPr>
                <w:rFonts w:ascii="Century" w:hAnsi="Century"/>
                <w:b/>
                <w:bCs/>
                <w:i/>
                <w:iCs/>
                <w:sz w:val="20"/>
                <w:szCs w:val="20"/>
                <w:lang w:eastAsia="ru-RU"/>
              </w:rPr>
            </w:pPr>
            <w:r w:rsidRPr="007A0937">
              <w:rPr>
                <w:rFonts w:ascii="Century" w:hAnsi="Century"/>
                <w:sz w:val="20"/>
                <w:szCs w:val="20"/>
                <w:lang w:eastAsia="ru-RU"/>
              </w:rPr>
              <w:t>Дефицит</w:t>
            </w:r>
          </w:p>
        </w:tc>
        <w:tc>
          <w:tcPr>
            <w:tcW w:w="1019" w:type="dxa"/>
            <w:shd w:val="clear" w:color="auto" w:fill="F2F2F2"/>
            <w:vAlign w:val="center"/>
          </w:tcPr>
          <w:p w:rsidR="00133BC5" w:rsidRPr="00BD3519" w:rsidRDefault="00133BC5" w:rsidP="00133BC5">
            <w:pPr>
              <w:spacing w:after="0" w:line="240" w:lineRule="auto"/>
              <w:contextualSpacing/>
              <w:jc w:val="right"/>
              <w:rPr>
                <w:rFonts w:ascii="Century" w:hAnsi="Century"/>
                <w:b/>
                <w:sz w:val="20"/>
                <w:szCs w:val="20"/>
              </w:rPr>
            </w:pPr>
            <w:r w:rsidRPr="00BD3519">
              <w:rPr>
                <w:rFonts w:ascii="Century" w:hAnsi="Century"/>
                <w:b/>
                <w:sz w:val="20"/>
                <w:szCs w:val="20"/>
              </w:rPr>
              <w:t>-</w:t>
            </w:r>
            <w:r>
              <w:rPr>
                <w:rFonts w:ascii="Century" w:hAnsi="Century"/>
                <w:b/>
                <w:sz w:val="20"/>
                <w:szCs w:val="20"/>
              </w:rPr>
              <w:t>45</w:t>
            </w:r>
          </w:p>
        </w:tc>
        <w:tc>
          <w:tcPr>
            <w:tcW w:w="1019" w:type="dxa"/>
            <w:shd w:val="clear" w:color="auto" w:fill="F2F2F2"/>
            <w:vAlign w:val="center"/>
          </w:tcPr>
          <w:p w:rsidR="00133BC5" w:rsidRPr="00BD3519" w:rsidRDefault="00133BC5" w:rsidP="00133BC5">
            <w:pPr>
              <w:spacing w:after="0" w:line="240" w:lineRule="auto"/>
              <w:contextualSpacing/>
              <w:jc w:val="right"/>
              <w:rPr>
                <w:rFonts w:ascii="Century" w:hAnsi="Century"/>
                <w:b/>
                <w:sz w:val="20"/>
                <w:szCs w:val="20"/>
              </w:rPr>
            </w:pPr>
            <w:r w:rsidRPr="00BD3519">
              <w:rPr>
                <w:rFonts w:ascii="Century" w:hAnsi="Century"/>
                <w:b/>
                <w:sz w:val="20"/>
                <w:szCs w:val="20"/>
              </w:rPr>
              <w:t>-</w:t>
            </w:r>
            <w:r>
              <w:rPr>
                <w:rFonts w:ascii="Century" w:hAnsi="Century"/>
                <w:b/>
                <w:sz w:val="20"/>
                <w:szCs w:val="20"/>
              </w:rPr>
              <w:t>97</w:t>
            </w:r>
          </w:p>
        </w:tc>
        <w:tc>
          <w:tcPr>
            <w:tcW w:w="1019" w:type="dxa"/>
            <w:shd w:val="clear" w:color="auto" w:fill="F2F2F2"/>
            <w:vAlign w:val="center"/>
          </w:tcPr>
          <w:p w:rsidR="00133BC5" w:rsidRPr="00BD3519" w:rsidRDefault="00133BC5" w:rsidP="00133BC5">
            <w:pPr>
              <w:spacing w:after="0" w:line="240" w:lineRule="auto"/>
              <w:contextualSpacing/>
              <w:jc w:val="right"/>
              <w:rPr>
                <w:rFonts w:ascii="Century" w:hAnsi="Century"/>
                <w:b/>
                <w:sz w:val="20"/>
                <w:szCs w:val="20"/>
              </w:rPr>
            </w:pPr>
            <w:r w:rsidRPr="00BD3519">
              <w:rPr>
                <w:rFonts w:ascii="Century" w:hAnsi="Century"/>
                <w:b/>
                <w:sz w:val="20"/>
                <w:szCs w:val="20"/>
              </w:rPr>
              <w:t>-</w:t>
            </w:r>
            <w:r>
              <w:rPr>
                <w:rFonts w:ascii="Century" w:hAnsi="Century"/>
                <w:b/>
                <w:sz w:val="20"/>
                <w:szCs w:val="20"/>
              </w:rPr>
              <w:t>57</w:t>
            </w:r>
          </w:p>
        </w:tc>
        <w:tc>
          <w:tcPr>
            <w:tcW w:w="1019" w:type="dxa"/>
            <w:shd w:val="clear" w:color="auto" w:fill="F2F2F2"/>
            <w:vAlign w:val="center"/>
          </w:tcPr>
          <w:p w:rsidR="00133BC5" w:rsidRPr="00BD3519" w:rsidRDefault="00133BC5" w:rsidP="00133BC5">
            <w:pPr>
              <w:spacing w:after="0" w:line="240" w:lineRule="auto"/>
              <w:contextualSpacing/>
              <w:jc w:val="right"/>
              <w:rPr>
                <w:rFonts w:ascii="Century" w:hAnsi="Century"/>
                <w:b/>
                <w:sz w:val="20"/>
                <w:szCs w:val="20"/>
              </w:rPr>
            </w:pPr>
            <w:r w:rsidRPr="00BD3519">
              <w:rPr>
                <w:rFonts w:ascii="Century" w:hAnsi="Century"/>
                <w:b/>
                <w:sz w:val="20"/>
                <w:szCs w:val="20"/>
              </w:rPr>
              <w:t>-</w:t>
            </w:r>
            <w:r>
              <w:rPr>
                <w:rFonts w:ascii="Century" w:hAnsi="Century"/>
                <w:b/>
                <w:sz w:val="20"/>
                <w:szCs w:val="20"/>
              </w:rPr>
              <w:t>36</w:t>
            </w:r>
          </w:p>
        </w:tc>
      </w:tr>
      <w:tr w:rsidR="00133BC5" w:rsidRPr="00920E8A" w:rsidTr="006A22F2">
        <w:trPr>
          <w:trHeight w:val="397"/>
        </w:trPr>
        <w:tc>
          <w:tcPr>
            <w:tcW w:w="5070" w:type="dxa"/>
            <w:tcBorders>
              <w:top w:val="nil"/>
              <w:left w:val="nil"/>
              <w:bottom w:val="single" w:sz="4" w:space="0" w:color="auto"/>
              <w:right w:val="nil"/>
            </w:tcBorders>
            <w:vAlign w:val="center"/>
          </w:tcPr>
          <w:p w:rsidR="00133BC5" w:rsidRPr="007A0937" w:rsidRDefault="00133BC5" w:rsidP="00133BC5">
            <w:pPr>
              <w:spacing w:after="0" w:line="240" w:lineRule="auto"/>
              <w:rPr>
                <w:rFonts w:ascii="Century" w:hAnsi="Century"/>
                <w:b/>
                <w:bCs/>
                <w:sz w:val="20"/>
                <w:szCs w:val="20"/>
                <w:lang w:eastAsia="ru-RU"/>
              </w:rPr>
            </w:pPr>
            <w:r w:rsidRPr="007A0937">
              <w:rPr>
                <w:rFonts w:ascii="Century" w:hAnsi="Century"/>
                <w:bCs/>
                <w:i/>
                <w:iCs/>
                <w:sz w:val="20"/>
                <w:szCs w:val="20"/>
                <w:lang w:eastAsia="ru-RU"/>
              </w:rPr>
              <w:t>%% ВВП</w:t>
            </w:r>
          </w:p>
        </w:tc>
        <w:tc>
          <w:tcPr>
            <w:tcW w:w="1019" w:type="dxa"/>
            <w:tcBorders>
              <w:top w:val="nil"/>
              <w:left w:val="nil"/>
              <w:bottom w:val="single" w:sz="4" w:space="0" w:color="auto"/>
              <w:right w:val="nil"/>
            </w:tcBorders>
            <w:vAlign w:val="center"/>
          </w:tcPr>
          <w:p w:rsidR="00133BC5" w:rsidRPr="00276F18" w:rsidRDefault="00133BC5" w:rsidP="00133BC5">
            <w:pPr>
              <w:spacing w:after="0" w:line="240" w:lineRule="auto"/>
              <w:contextualSpacing/>
              <w:jc w:val="right"/>
              <w:rPr>
                <w:rFonts w:ascii="Century" w:hAnsi="Century"/>
                <w:i/>
                <w:sz w:val="20"/>
                <w:szCs w:val="20"/>
              </w:rPr>
            </w:pPr>
            <w:r>
              <w:rPr>
                <w:rFonts w:ascii="Century" w:hAnsi="Century"/>
                <w:i/>
                <w:sz w:val="20"/>
                <w:szCs w:val="20"/>
                <w:lang w:val="en-US"/>
              </w:rPr>
              <w:t>&lt;</w:t>
            </w:r>
            <w:r w:rsidRPr="00276F18">
              <w:rPr>
                <w:rFonts w:ascii="Century" w:hAnsi="Century"/>
                <w:i/>
                <w:sz w:val="20"/>
                <w:szCs w:val="20"/>
              </w:rPr>
              <w:t>0,</w:t>
            </w:r>
            <w:r>
              <w:rPr>
                <w:rFonts w:ascii="Century" w:hAnsi="Century"/>
                <w:i/>
                <w:sz w:val="20"/>
                <w:szCs w:val="20"/>
              </w:rPr>
              <w:t>1</w:t>
            </w:r>
          </w:p>
        </w:tc>
        <w:tc>
          <w:tcPr>
            <w:tcW w:w="1019" w:type="dxa"/>
            <w:tcBorders>
              <w:top w:val="nil"/>
              <w:left w:val="nil"/>
              <w:bottom w:val="single" w:sz="4" w:space="0" w:color="auto"/>
              <w:right w:val="nil"/>
            </w:tcBorders>
            <w:vAlign w:val="center"/>
          </w:tcPr>
          <w:p w:rsidR="00133BC5" w:rsidRPr="00276F18" w:rsidRDefault="00133BC5" w:rsidP="00133BC5">
            <w:pPr>
              <w:spacing w:after="0" w:line="240" w:lineRule="auto"/>
              <w:contextualSpacing/>
              <w:jc w:val="right"/>
              <w:rPr>
                <w:rFonts w:ascii="Century" w:hAnsi="Century"/>
                <w:i/>
                <w:sz w:val="20"/>
                <w:szCs w:val="20"/>
              </w:rPr>
            </w:pPr>
            <w:r>
              <w:rPr>
                <w:rFonts w:ascii="Century" w:hAnsi="Century"/>
                <w:i/>
                <w:sz w:val="20"/>
                <w:szCs w:val="20"/>
                <w:lang w:val="en-US"/>
              </w:rPr>
              <w:t>&lt;</w:t>
            </w:r>
            <w:r w:rsidRPr="00276F18">
              <w:rPr>
                <w:rFonts w:ascii="Century" w:hAnsi="Century"/>
                <w:i/>
                <w:sz w:val="20"/>
                <w:szCs w:val="20"/>
              </w:rPr>
              <w:t>0,1</w:t>
            </w:r>
          </w:p>
        </w:tc>
        <w:tc>
          <w:tcPr>
            <w:tcW w:w="1019" w:type="dxa"/>
            <w:tcBorders>
              <w:top w:val="nil"/>
              <w:left w:val="nil"/>
              <w:bottom w:val="single" w:sz="4" w:space="0" w:color="auto"/>
              <w:right w:val="nil"/>
            </w:tcBorders>
            <w:vAlign w:val="center"/>
          </w:tcPr>
          <w:p w:rsidR="00133BC5" w:rsidRPr="00276F18" w:rsidRDefault="00133BC5" w:rsidP="00133BC5">
            <w:pPr>
              <w:spacing w:after="0" w:line="240" w:lineRule="auto"/>
              <w:contextualSpacing/>
              <w:jc w:val="right"/>
              <w:rPr>
                <w:rFonts w:ascii="Century" w:hAnsi="Century"/>
                <w:i/>
                <w:sz w:val="20"/>
                <w:szCs w:val="20"/>
              </w:rPr>
            </w:pPr>
            <w:r>
              <w:rPr>
                <w:rFonts w:ascii="Century" w:hAnsi="Century"/>
                <w:i/>
                <w:sz w:val="20"/>
                <w:szCs w:val="20"/>
                <w:lang w:val="en-US"/>
              </w:rPr>
              <w:t>&lt;</w:t>
            </w:r>
            <w:r w:rsidRPr="00276F18">
              <w:rPr>
                <w:rFonts w:ascii="Century" w:hAnsi="Century"/>
                <w:i/>
                <w:sz w:val="20"/>
                <w:szCs w:val="20"/>
              </w:rPr>
              <w:t>0</w:t>
            </w:r>
            <w:r>
              <w:rPr>
                <w:rFonts w:ascii="Century" w:hAnsi="Century"/>
                <w:i/>
                <w:sz w:val="20"/>
                <w:szCs w:val="20"/>
              </w:rPr>
              <w:t>,1</w:t>
            </w:r>
          </w:p>
        </w:tc>
        <w:tc>
          <w:tcPr>
            <w:tcW w:w="1019" w:type="dxa"/>
            <w:tcBorders>
              <w:top w:val="nil"/>
              <w:left w:val="nil"/>
              <w:bottom w:val="single" w:sz="4" w:space="0" w:color="auto"/>
              <w:right w:val="nil"/>
            </w:tcBorders>
            <w:vAlign w:val="center"/>
          </w:tcPr>
          <w:p w:rsidR="00133BC5" w:rsidRPr="00276F18" w:rsidRDefault="00133BC5" w:rsidP="00133BC5">
            <w:pPr>
              <w:spacing w:after="0" w:line="240" w:lineRule="auto"/>
              <w:contextualSpacing/>
              <w:jc w:val="right"/>
              <w:rPr>
                <w:rFonts w:ascii="Century" w:hAnsi="Century"/>
                <w:i/>
                <w:sz w:val="20"/>
                <w:szCs w:val="20"/>
              </w:rPr>
            </w:pPr>
            <w:r>
              <w:rPr>
                <w:rFonts w:ascii="Century" w:hAnsi="Century"/>
                <w:i/>
                <w:sz w:val="20"/>
                <w:szCs w:val="20"/>
                <w:lang w:val="en-US"/>
              </w:rPr>
              <w:t>&lt;</w:t>
            </w:r>
            <w:r w:rsidRPr="00276F18">
              <w:rPr>
                <w:rFonts w:ascii="Century" w:hAnsi="Century"/>
                <w:i/>
                <w:sz w:val="20"/>
                <w:szCs w:val="20"/>
              </w:rPr>
              <w:t>0,</w:t>
            </w:r>
            <w:r>
              <w:rPr>
                <w:rFonts w:ascii="Century" w:hAnsi="Century"/>
                <w:i/>
                <w:sz w:val="20"/>
                <w:szCs w:val="20"/>
              </w:rPr>
              <w:t>1</w:t>
            </w:r>
          </w:p>
        </w:tc>
      </w:tr>
    </w:tbl>
    <w:p w:rsidR="00133BC5" w:rsidRPr="006A22F2" w:rsidRDefault="00133BC5" w:rsidP="006A22F2">
      <w:pPr>
        <w:autoSpaceDE w:val="0"/>
        <w:autoSpaceDN w:val="0"/>
        <w:adjustRightInd w:val="0"/>
        <w:spacing w:after="120"/>
        <w:jc w:val="both"/>
        <w:rPr>
          <w:rFonts w:ascii="Times New Roman" w:hAnsi="Times New Roman"/>
          <w:sz w:val="24"/>
          <w:szCs w:val="28"/>
          <w:lang w:eastAsia="ru-RU"/>
        </w:rPr>
      </w:pPr>
      <w:r w:rsidRPr="006A22F2">
        <w:rPr>
          <w:rFonts w:ascii="Times New Roman" w:hAnsi="Times New Roman"/>
          <w:sz w:val="24"/>
          <w:szCs w:val="28"/>
          <w:lang w:eastAsia="ru-RU"/>
        </w:rPr>
        <w:t xml:space="preserve">Объем </w:t>
      </w:r>
      <w:r w:rsidRPr="006A22F2">
        <w:rPr>
          <w:rFonts w:ascii="Times New Roman" w:hAnsi="Times New Roman"/>
          <w:b/>
          <w:sz w:val="24"/>
          <w:szCs w:val="28"/>
          <w:lang w:eastAsia="ru-RU"/>
        </w:rPr>
        <w:t>налоговых и неналоговых доходов</w:t>
      </w:r>
      <w:r w:rsidRPr="006A22F2">
        <w:rPr>
          <w:rFonts w:ascii="Times New Roman" w:hAnsi="Times New Roman"/>
          <w:sz w:val="24"/>
          <w:szCs w:val="28"/>
          <w:lang w:eastAsia="ru-RU"/>
        </w:rPr>
        <w:t xml:space="preserve"> на субфедеральном уровне будет сохраняться на стабильном уровне по отношению к ВВП с небольшим увеличением с 2020 года за счет принятия дополнительных мер, направленных на увеличение собственных доходов регионов в целях реализации поставленных задач. Указанные меры призваны решить задачи, поставленные в Указе № 204, а также компенсировать выпадающие доходы регионов от исключения движимого имущества из объектов обложения налогом на имущество организаций.</w:t>
      </w:r>
    </w:p>
    <w:p w:rsidR="00133BC5" w:rsidRPr="006A22F2" w:rsidRDefault="00133BC5" w:rsidP="006A22F2">
      <w:pPr>
        <w:autoSpaceDE w:val="0"/>
        <w:autoSpaceDN w:val="0"/>
        <w:adjustRightInd w:val="0"/>
        <w:spacing w:after="120"/>
        <w:jc w:val="both"/>
        <w:rPr>
          <w:rFonts w:ascii="Times New Roman" w:hAnsi="Times New Roman"/>
          <w:sz w:val="24"/>
          <w:szCs w:val="28"/>
          <w:lang w:eastAsia="ru-RU"/>
        </w:rPr>
      </w:pPr>
      <w:r w:rsidRPr="006A22F2">
        <w:rPr>
          <w:rFonts w:ascii="Times New Roman" w:hAnsi="Times New Roman"/>
          <w:b/>
          <w:sz w:val="24"/>
          <w:szCs w:val="28"/>
          <w:lang w:eastAsia="ru-RU"/>
        </w:rPr>
        <w:t>Расходы консолидированных бюджетов</w:t>
      </w:r>
      <w:r w:rsidRPr="006A22F2">
        <w:rPr>
          <w:rFonts w:ascii="Times New Roman" w:hAnsi="Times New Roman"/>
          <w:sz w:val="24"/>
          <w:szCs w:val="28"/>
          <w:lang w:eastAsia="ru-RU"/>
        </w:rPr>
        <w:t xml:space="preserve"> субъектов в 2018-2020 годах прогнозируются со стабильным ежегодным приростом на уровне 4%-5% к предыдущему году. В то же время ожидается сокращение объема расходов консолидированных бюджетов субъектов в процентах к ВВП с 11,6% в 2018 году до 11,3% в 2021 году на фоне аналогичного снижения доли доходной части по отношению к ВВП.</w:t>
      </w:r>
    </w:p>
    <w:p w:rsidR="00133BC5" w:rsidRPr="006A22F2" w:rsidRDefault="00133BC5" w:rsidP="006A22F2">
      <w:pPr>
        <w:autoSpaceDE w:val="0"/>
        <w:autoSpaceDN w:val="0"/>
        <w:adjustRightInd w:val="0"/>
        <w:spacing w:after="120"/>
        <w:jc w:val="both"/>
        <w:rPr>
          <w:rFonts w:ascii="Times New Roman" w:hAnsi="Times New Roman"/>
          <w:sz w:val="24"/>
          <w:szCs w:val="28"/>
          <w:lang w:eastAsia="ru-RU"/>
        </w:rPr>
      </w:pPr>
      <w:r w:rsidRPr="006A22F2">
        <w:rPr>
          <w:rFonts w:ascii="Times New Roman" w:hAnsi="Times New Roman"/>
          <w:sz w:val="24"/>
          <w:szCs w:val="28"/>
          <w:lang w:eastAsia="ru-RU"/>
        </w:rPr>
        <w:t>При планировании объема расходных обязательств консолидированных бюджетов субъектов Российской Федерации учитывается оценка исполнения в 201</w:t>
      </w:r>
      <w:r w:rsidR="00CD2E7C">
        <w:rPr>
          <w:rFonts w:ascii="Times New Roman" w:hAnsi="Times New Roman"/>
          <w:sz w:val="24"/>
          <w:szCs w:val="28"/>
          <w:lang w:eastAsia="ru-RU"/>
        </w:rPr>
        <w:t>7</w:t>
      </w:r>
      <w:r w:rsidRPr="006A22F2">
        <w:rPr>
          <w:rFonts w:ascii="Times New Roman" w:hAnsi="Times New Roman"/>
          <w:sz w:val="24"/>
          <w:szCs w:val="28"/>
          <w:lang w:eastAsia="ru-RU"/>
        </w:rPr>
        <w:t xml:space="preserve"> году, уточненный прогноз макроэкономических показателей социально-экономического развития и следующие факторы:</w:t>
      </w:r>
    </w:p>
    <w:p w:rsidR="00133BC5" w:rsidRPr="006A22F2" w:rsidRDefault="00133BC5" w:rsidP="006A22F2">
      <w:pPr>
        <w:pStyle w:val="aa"/>
        <w:numPr>
          <w:ilvl w:val="0"/>
          <w:numId w:val="8"/>
        </w:numPr>
        <w:spacing w:after="120"/>
        <w:ind w:left="357" w:hanging="357"/>
        <w:contextualSpacing w:val="0"/>
        <w:jc w:val="both"/>
        <w:rPr>
          <w:rFonts w:ascii="Times New Roman" w:hAnsi="Times New Roman"/>
          <w:sz w:val="24"/>
          <w:szCs w:val="28"/>
          <w:lang w:eastAsia="ru-RU"/>
        </w:rPr>
      </w:pPr>
      <w:r w:rsidRPr="006A22F2">
        <w:rPr>
          <w:rFonts w:ascii="Times New Roman" w:hAnsi="Times New Roman"/>
          <w:sz w:val="24"/>
          <w:szCs w:val="28"/>
          <w:lang w:eastAsia="ru-RU"/>
        </w:rPr>
        <w:t>повышение оплаты труда работников в сфере образования, здравоохранения, культуры, социального обслуживания в соответствии с указами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2012 - 2017 годы», от 28 декабря 2012 г. № 1688 «О некоторых мерах по реализации государственной политики в сфере защиты детей-сирот и детей, оставшихся без попечения родителей» и принятыми региональными планами мероприятий («дорожными картами») по развитию отраслей социальной сферы с учетом достижения целевых показателей повышения оплаты труда работников бюджетной сферы в 2018 году, в 2019-2021 годах сохранение достигнутых в 2018 году соотношений;</w:t>
      </w:r>
    </w:p>
    <w:p w:rsidR="00133BC5" w:rsidRPr="006A22F2" w:rsidRDefault="00133BC5" w:rsidP="006A22F2">
      <w:pPr>
        <w:pStyle w:val="aa"/>
        <w:numPr>
          <w:ilvl w:val="0"/>
          <w:numId w:val="8"/>
        </w:numPr>
        <w:spacing w:after="120"/>
        <w:ind w:left="357" w:hanging="357"/>
        <w:contextualSpacing w:val="0"/>
        <w:jc w:val="both"/>
        <w:rPr>
          <w:rFonts w:ascii="Times New Roman" w:hAnsi="Times New Roman"/>
          <w:sz w:val="24"/>
          <w:szCs w:val="28"/>
          <w:lang w:eastAsia="ru-RU"/>
        </w:rPr>
      </w:pPr>
      <w:r w:rsidRPr="006A22F2">
        <w:rPr>
          <w:rFonts w:ascii="Times New Roman" w:hAnsi="Times New Roman"/>
          <w:sz w:val="24"/>
          <w:szCs w:val="28"/>
          <w:lang w:eastAsia="ru-RU"/>
        </w:rPr>
        <w:t>ежегодная индексация фондов оплаты труда категорий работников бюджетной сферы, которые не попадают под действие указов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2012 - 2017 годы», от 28 декабря 2012 г. № 1688 «О некоторых мерах по реализации государственной политики в сфере защиты детей-сирот и детей, оставшихся без попечения родителей»;</w:t>
      </w:r>
    </w:p>
    <w:p w:rsidR="00133BC5" w:rsidRPr="006A22F2" w:rsidRDefault="00133BC5" w:rsidP="006A22F2">
      <w:pPr>
        <w:pStyle w:val="aa"/>
        <w:numPr>
          <w:ilvl w:val="0"/>
          <w:numId w:val="8"/>
        </w:numPr>
        <w:spacing w:after="120"/>
        <w:ind w:left="357" w:hanging="357"/>
        <w:contextualSpacing w:val="0"/>
        <w:jc w:val="both"/>
        <w:rPr>
          <w:rFonts w:ascii="Times New Roman" w:hAnsi="Times New Roman"/>
          <w:sz w:val="24"/>
          <w:szCs w:val="28"/>
          <w:lang w:eastAsia="ru-RU"/>
        </w:rPr>
      </w:pPr>
      <w:r w:rsidRPr="006A22F2">
        <w:rPr>
          <w:rFonts w:ascii="Times New Roman" w:hAnsi="Times New Roman"/>
          <w:sz w:val="24"/>
          <w:szCs w:val="28"/>
          <w:lang w:eastAsia="ru-RU"/>
        </w:rPr>
        <w:t>повышение уровня минимального размера оплаты труда до величины прожиточного минимума трудоспособного населения;</w:t>
      </w:r>
    </w:p>
    <w:p w:rsidR="00133BC5" w:rsidRPr="006A22F2" w:rsidRDefault="00133BC5" w:rsidP="006A22F2">
      <w:pPr>
        <w:pStyle w:val="aa"/>
        <w:numPr>
          <w:ilvl w:val="0"/>
          <w:numId w:val="8"/>
        </w:numPr>
        <w:spacing w:after="120"/>
        <w:ind w:left="357" w:hanging="357"/>
        <w:contextualSpacing w:val="0"/>
        <w:jc w:val="both"/>
        <w:rPr>
          <w:rFonts w:ascii="Times New Roman" w:hAnsi="Times New Roman"/>
          <w:sz w:val="24"/>
          <w:szCs w:val="28"/>
          <w:lang w:eastAsia="ru-RU"/>
        </w:rPr>
      </w:pPr>
      <w:r w:rsidRPr="006A22F2">
        <w:rPr>
          <w:rFonts w:ascii="Times New Roman" w:hAnsi="Times New Roman"/>
          <w:sz w:val="24"/>
          <w:szCs w:val="28"/>
          <w:lang w:eastAsia="ru-RU"/>
        </w:rPr>
        <w:t>ежегодная индексация социально-значимых расходов на уровень инфляции;</w:t>
      </w:r>
    </w:p>
    <w:p w:rsidR="00133BC5" w:rsidRPr="006A22F2" w:rsidRDefault="00133BC5" w:rsidP="006A22F2">
      <w:pPr>
        <w:pStyle w:val="aa"/>
        <w:numPr>
          <w:ilvl w:val="0"/>
          <w:numId w:val="8"/>
        </w:numPr>
        <w:spacing w:after="120"/>
        <w:ind w:left="357" w:hanging="357"/>
        <w:contextualSpacing w:val="0"/>
        <w:jc w:val="both"/>
        <w:rPr>
          <w:rFonts w:ascii="Times New Roman" w:hAnsi="Times New Roman"/>
          <w:sz w:val="24"/>
          <w:szCs w:val="28"/>
          <w:lang w:eastAsia="ru-RU"/>
        </w:rPr>
      </w:pPr>
      <w:r w:rsidRPr="006A22F2">
        <w:rPr>
          <w:rFonts w:ascii="Times New Roman" w:hAnsi="Times New Roman"/>
          <w:sz w:val="24"/>
          <w:szCs w:val="28"/>
          <w:lang w:eastAsia="ru-RU"/>
        </w:rPr>
        <w:lastRenderedPageBreak/>
        <w:t>ежегодное изменение объемов целевых межбюджетных трансфертов, предоставляемых из федерального бюджета.</w:t>
      </w:r>
    </w:p>
    <w:p w:rsidR="00133BC5" w:rsidRPr="006A22F2" w:rsidRDefault="00133BC5" w:rsidP="006A22F2">
      <w:pPr>
        <w:spacing w:after="120"/>
        <w:jc w:val="both"/>
        <w:rPr>
          <w:rFonts w:ascii="Times New Roman" w:hAnsi="Times New Roman"/>
          <w:sz w:val="24"/>
          <w:szCs w:val="28"/>
          <w:lang w:eastAsia="ru-RU"/>
        </w:rPr>
      </w:pPr>
      <w:r w:rsidRPr="006A22F2">
        <w:rPr>
          <w:rFonts w:ascii="Times New Roman" w:hAnsi="Times New Roman"/>
          <w:sz w:val="24"/>
          <w:szCs w:val="28"/>
          <w:lang w:eastAsia="ru-RU"/>
        </w:rPr>
        <w:t>Расходы консолидированных бюджетов субъектов Российской Федерации не учитывают реализацию Указа № 204 и национальных проектов. В процессе проработки национальных проектов с учетом перераспределения полномочий будет донастроена система межбюджетных отношений, которая может включать:</w:t>
      </w:r>
    </w:p>
    <w:p w:rsidR="00133BC5" w:rsidRPr="006A22F2" w:rsidRDefault="00133BC5" w:rsidP="006A22F2">
      <w:pPr>
        <w:spacing w:after="120"/>
        <w:jc w:val="both"/>
        <w:rPr>
          <w:rFonts w:ascii="Times New Roman" w:hAnsi="Times New Roman"/>
          <w:sz w:val="24"/>
          <w:szCs w:val="28"/>
          <w:lang w:eastAsia="ru-RU"/>
        </w:rPr>
      </w:pPr>
      <w:r w:rsidRPr="006A22F2">
        <w:rPr>
          <w:rFonts w:ascii="Times New Roman" w:hAnsi="Times New Roman"/>
          <w:sz w:val="24"/>
          <w:szCs w:val="28"/>
          <w:lang w:eastAsia="ru-RU"/>
        </w:rPr>
        <w:t>- предоставление дополнительной финансовой помощи из федерального бюджета;</w:t>
      </w:r>
    </w:p>
    <w:p w:rsidR="00133BC5" w:rsidRPr="006A22F2" w:rsidRDefault="00133BC5" w:rsidP="006A22F2">
      <w:pPr>
        <w:spacing w:after="120"/>
        <w:jc w:val="both"/>
        <w:rPr>
          <w:rFonts w:ascii="Times New Roman" w:hAnsi="Times New Roman"/>
          <w:sz w:val="24"/>
          <w:szCs w:val="28"/>
          <w:lang w:eastAsia="ru-RU"/>
        </w:rPr>
      </w:pPr>
      <w:r w:rsidRPr="006A22F2">
        <w:rPr>
          <w:rFonts w:ascii="Times New Roman" w:hAnsi="Times New Roman"/>
          <w:sz w:val="24"/>
          <w:szCs w:val="28"/>
          <w:lang w:eastAsia="ru-RU"/>
        </w:rPr>
        <w:t>- передачу доходов с федерального уровня, в том числе акцизов на нефтепродукты и крепкий алкоголь;</w:t>
      </w:r>
    </w:p>
    <w:p w:rsidR="00133BC5" w:rsidRPr="006A22F2" w:rsidRDefault="00133BC5" w:rsidP="006A22F2">
      <w:pPr>
        <w:spacing w:after="120"/>
        <w:jc w:val="both"/>
        <w:rPr>
          <w:rFonts w:ascii="Times New Roman" w:hAnsi="Times New Roman"/>
          <w:sz w:val="24"/>
          <w:szCs w:val="28"/>
          <w:lang w:eastAsia="ru-RU"/>
        </w:rPr>
      </w:pPr>
      <w:r w:rsidRPr="006A22F2">
        <w:rPr>
          <w:rFonts w:ascii="Times New Roman" w:hAnsi="Times New Roman"/>
          <w:sz w:val="24"/>
          <w:szCs w:val="28"/>
          <w:lang w:eastAsia="ru-RU"/>
        </w:rPr>
        <w:t>-</w:t>
      </w:r>
      <w:r w:rsidRPr="006A22F2">
        <w:rPr>
          <w:rFonts w:ascii="Times New Roman" w:hAnsi="Times New Roman"/>
          <w:sz w:val="24"/>
          <w:szCs w:val="28"/>
          <w:lang w:val="en-US" w:eastAsia="ru-RU"/>
        </w:rPr>
        <w:t> </w:t>
      </w:r>
      <w:r w:rsidRPr="006A22F2">
        <w:rPr>
          <w:rFonts w:ascii="Times New Roman" w:hAnsi="Times New Roman"/>
          <w:sz w:val="24"/>
          <w:szCs w:val="28"/>
          <w:lang w:eastAsia="ru-RU"/>
        </w:rPr>
        <w:t>перераспределение полномочий между уровнями публичной власти.</w:t>
      </w:r>
    </w:p>
    <w:p w:rsidR="00133BC5" w:rsidRPr="006A22F2" w:rsidRDefault="00133BC5" w:rsidP="006A22F2">
      <w:pPr>
        <w:spacing w:after="120"/>
        <w:jc w:val="both"/>
        <w:rPr>
          <w:rFonts w:ascii="Times New Roman" w:hAnsi="Times New Roman"/>
          <w:sz w:val="24"/>
          <w:szCs w:val="28"/>
          <w:lang w:eastAsia="ru-RU"/>
        </w:rPr>
      </w:pPr>
      <w:r w:rsidRPr="006A22F2">
        <w:rPr>
          <w:rFonts w:ascii="Times New Roman" w:hAnsi="Times New Roman"/>
          <w:sz w:val="24"/>
          <w:szCs w:val="28"/>
          <w:lang w:eastAsia="ru-RU"/>
        </w:rPr>
        <w:t>Дефицит консолидированных бюджетов субъектов Российской Федерации будет постепенно сокращаться с -97 млрд рублей в 2019 году до - 36 млрд рублей в 2021 году.</w:t>
      </w:r>
    </w:p>
    <w:p w:rsidR="00133BC5" w:rsidRPr="006A22F2" w:rsidRDefault="00133BC5" w:rsidP="006A22F2">
      <w:pPr>
        <w:spacing w:after="120"/>
        <w:jc w:val="both"/>
        <w:rPr>
          <w:rFonts w:ascii="Times New Roman" w:hAnsi="Times New Roman"/>
          <w:sz w:val="24"/>
          <w:szCs w:val="28"/>
          <w:lang w:eastAsia="ru-RU"/>
        </w:rPr>
      </w:pPr>
      <w:r w:rsidRPr="006A22F2">
        <w:rPr>
          <w:rFonts w:ascii="Times New Roman" w:hAnsi="Times New Roman"/>
          <w:b/>
          <w:sz w:val="24"/>
          <w:szCs w:val="28"/>
          <w:lang w:eastAsia="ru-RU"/>
        </w:rPr>
        <w:t>Источниками финансирования дефицита</w:t>
      </w:r>
      <w:r w:rsidRPr="006A22F2">
        <w:rPr>
          <w:rFonts w:ascii="Times New Roman" w:hAnsi="Times New Roman"/>
          <w:sz w:val="24"/>
          <w:szCs w:val="28"/>
          <w:lang w:eastAsia="ru-RU"/>
        </w:rPr>
        <w:t xml:space="preserve"> бюджетов субъектов в рассматриваемом периоде будут являться ценные бумаги, кредиты от кредитных организаций, изменение остатков средств на счетах по учету средств бюджетов субъектов, и прочие источники финансирования.</w:t>
      </w:r>
    </w:p>
    <w:p w:rsidR="00133BC5" w:rsidRPr="006A22F2" w:rsidRDefault="00133BC5" w:rsidP="006A22F2">
      <w:pPr>
        <w:spacing w:after="120"/>
        <w:jc w:val="both"/>
        <w:rPr>
          <w:rFonts w:ascii="Times New Roman" w:hAnsi="Times New Roman"/>
          <w:sz w:val="24"/>
          <w:szCs w:val="28"/>
          <w:lang w:eastAsia="ru-RU"/>
        </w:rPr>
      </w:pPr>
      <w:r w:rsidRPr="006A22F2">
        <w:rPr>
          <w:rFonts w:ascii="Times New Roman" w:hAnsi="Times New Roman"/>
          <w:b/>
          <w:sz w:val="24"/>
        </w:rPr>
        <w:t>Таблица 4.2.2.</w:t>
      </w:r>
      <w:r w:rsidRPr="006A22F2">
        <w:rPr>
          <w:rFonts w:ascii="Times New Roman" w:hAnsi="Times New Roman"/>
          <w:sz w:val="24"/>
        </w:rPr>
        <w:t xml:space="preserve"> </w:t>
      </w:r>
      <w:r w:rsidRPr="006A22F2">
        <w:rPr>
          <w:rFonts w:ascii="Times New Roman" w:hAnsi="Times New Roman"/>
          <w:sz w:val="24"/>
          <w:szCs w:val="28"/>
          <w:lang w:eastAsia="ru-RU"/>
        </w:rPr>
        <w:t>Межбюджетные трансферты из федерального бюджета</w:t>
      </w:r>
      <w:r w:rsidRPr="006A22F2">
        <w:rPr>
          <w:rFonts w:ascii="Times New Roman" w:hAnsi="Times New Roman"/>
          <w:sz w:val="24"/>
          <w:szCs w:val="28"/>
          <w:lang w:eastAsia="ru-RU"/>
        </w:rPr>
        <w:br/>
        <w:t>бюджетам субъектов в 2018-2021 гг.</w:t>
      </w:r>
    </w:p>
    <w:p w:rsidR="00133BC5" w:rsidRPr="006A22F2" w:rsidRDefault="00133BC5" w:rsidP="00133BC5">
      <w:pPr>
        <w:spacing w:after="0"/>
        <w:jc w:val="right"/>
        <w:rPr>
          <w:rFonts w:ascii="Times New Roman" w:hAnsi="Times New Roman"/>
          <w:i/>
          <w:szCs w:val="28"/>
          <w:lang w:eastAsia="ru-RU"/>
        </w:rPr>
      </w:pPr>
      <w:r w:rsidRPr="006A22F2">
        <w:rPr>
          <w:rFonts w:ascii="Times New Roman" w:hAnsi="Times New Roman"/>
          <w:i/>
          <w:szCs w:val="28"/>
          <w:lang w:eastAsia="ru-RU"/>
        </w:rPr>
        <w:t>млрд рублей</w:t>
      </w:r>
    </w:p>
    <w:tbl>
      <w:tblPr>
        <w:tblW w:w="9239" w:type="dxa"/>
        <w:tblLayout w:type="fixed"/>
        <w:tblLook w:val="00A0" w:firstRow="1" w:lastRow="0" w:firstColumn="1" w:lastColumn="0" w:noHBand="0" w:noVBand="0"/>
      </w:tblPr>
      <w:tblGrid>
        <w:gridCol w:w="5070"/>
        <w:gridCol w:w="1109"/>
        <w:gridCol w:w="1020"/>
        <w:gridCol w:w="1020"/>
        <w:gridCol w:w="1020"/>
      </w:tblGrid>
      <w:tr w:rsidR="00133BC5" w:rsidRPr="006A22F2" w:rsidTr="006A22F2">
        <w:trPr>
          <w:trHeight w:val="340"/>
        </w:trPr>
        <w:tc>
          <w:tcPr>
            <w:tcW w:w="5070" w:type="dxa"/>
            <w:tcBorders>
              <w:bottom w:val="single" w:sz="4" w:space="0" w:color="auto"/>
            </w:tcBorders>
          </w:tcPr>
          <w:p w:rsidR="00133BC5" w:rsidRPr="006A22F2" w:rsidRDefault="00133BC5" w:rsidP="00133BC5">
            <w:pPr>
              <w:spacing w:after="0"/>
              <w:contextualSpacing/>
              <w:rPr>
                <w:rFonts w:ascii="Century" w:hAnsi="Century"/>
                <w:b/>
                <w:bCs/>
              </w:rPr>
            </w:pPr>
            <w:r w:rsidRPr="006A22F2">
              <w:rPr>
                <w:rFonts w:ascii="Century" w:hAnsi="Century"/>
                <w:b/>
                <w:bCs/>
              </w:rPr>
              <w:t>Показатель</w:t>
            </w:r>
          </w:p>
        </w:tc>
        <w:tc>
          <w:tcPr>
            <w:tcW w:w="1109" w:type="dxa"/>
            <w:tcBorders>
              <w:bottom w:val="single" w:sz="4" w:space="0" w:color="auto"/>
            </w:tcBorders>
          </w:tcPr>
          <w:p w:rsidR="00133BC5" w:rsidRPr="006A22F2" w:rsidRDefault="00133BC5" w:rsidP="00133BC5">
            <w:pPr>
              <w:spacing w:after="0"/>
              <w:contextualSpacing/>
              <w:jc w:val="center"/>
              <w:rPr>
                <w:rFonts w:ascii="Century" w:hAnsi="Century"/>
                <w:b/>
                <w:bCs/>
              </w:rPr>
            </w:pPr>
            <w:r w:rsidRPr="006A22F2">
              <w:rPr>
                <w:rFonts w:ascii="Century" w:hAnsi="Century"/>
                <w:b/>
                <w:bCs/>
              </w:rPr>
              <w:t>2018</w:t>
            </w:r>
          </w:p>
        </w:tc>
        <w:tc>
          <w:tcPr>
            <w:tcW w:w="1020" w:type="dxa"/>
            <w:tcBorders>
              <w:bottom w:val="single" w:sz="4" w:space="0" w:color="auto"/>
            </w:tcBorders>
          </w:tcPr>
          <w:p w:rsidR="00133BC5" w:rsidRPr="006A22F2" w:rsidRDefault="00133BC5" w:rsidP="00133BC5">
            <w:pPr>
              <w:spacing w:after="0"/>
              <w:contextualSpacing/>
              <w:jc w:val="center"/>
              <w:rPr>
                <w:rFonts w:ascii="Century" w:hAnsi="Century"/>
                <w:b/>
                <w:bCs/>
              </w:rPr>
            </w:pPr>
            <w:r w:rsidRPr="006A22F2">
              <w:rPr>
                <w:rFonts w:ascii="Century" w:hAnsi="Century"/>
                <w:b/>
                <w:bCs/>
              </w:rPr>
              <w:t>2019</w:t>
            </w:r>
          </w:p>
        </w:tc>
        <w:tc>
          <w:tcPr>
            <w:tcW w:w="1020" w:type="dxa"/>
            <w:tcBorders>
              <w:bottom w:val="single" w:sz="4" w:space="0" w:color="auto"/>
            </w:tcBorders>
          </w:tcPr>
          <w:p w:rsidR="00133BC5" w:rsidRPr="006A22F2" w:rsidRDefault="00133BC5" w:rsidP="00133BC5">
            <w:pPr>
              <w:spacing w:after="0"/>
              <w:contextualSpacing/>
              <w:jc w:val="center"/>
              <w:rPr>
                <w:rFonts w:ascii="Century" w:hAnsi="Century"/>
                <w:b/>
                <w:bCs/>
              </w:rPr>
            </w:pPr>
            <w:r w:rsidRPr="006A22F2">
              <w:rPr>
                <w:rFonts w:ascii="Century" w:hAnsi="Century"/>
                <w:b/>
                <w:bCs/>
              </w:rPr>
              <w:t>2020</w:t>
            </w:r>
          </w:p>
        </w:tc>
        <w:tc>
          <w:tcPr>
            <w:tcW w:w="1020" w:type="dxa"/>
            <w:tcBorders>
              <w:bottom w:val="single" w:sz="4" w:space="0" w:color="auto"/>
            </w:tcBorders>
          </w:tcPr>
          <w:p w:rsidR="00133BC5" w:rsidRPr="006A22F2" w:rsidRDefault="00133BC5" w:rsidP="00133BC5">
            <w:pPr>
              <w:spacing w:after="0"/>
              <w:contextualSpacing/>
              <w:jc w:val="center"/>
              <w:rPr>
                <w:rFonts w:ascii="Century" w:hAnsi="Century"/>
                <w:b/>
                <w:bCs/>
              </w:rPr>
            </w:pPr>
            <w:r w:rsidRPr="006A22F2">
              <w:rPr>
                <w:rFonts w:ascii="Century" w:hAnsi="Century"/>
                <w:b/>
                <w:bCs/>
              </w:rPr>
              <w:t>2021</w:t>
            </w:r>
          </w:p>
        </w:tc>
      </w:tr>
      <w:tr w:rsidR="00133BC5" w:rsidRPr="006A22F2" w:rsidTr="006A22F2">
        <w:trPr>
          <w:trHeight w:val="340"/>
        </w:trPr>
        <w:tc>
          <w:tcPr>
            <w:tcW w:w="5070" w:type="dxa"/>
            <w:tcBorders>
              <w:top w:val="single" w:sz="4" w:space="0" w:color="auto"/>
            </w:tcBorders>
            <w:shd w:val="clear" w:color="auto" w:fill="F2F2F2"/>
            <w:vAlign w:val="center"/>
          </w:tcPr>
          <w:p w:rsidR="00133BC5" w:rsidRPr="006A22F2" w:rsidRDefault="00133BC5" w:rsidP="00133BC5">
            <w:pPr>
              <w:spacing w:after="0"/>
              <w:contextualSpacing/>
              <w:rPr>
                <w:rFonts w:ascii="Century" w:hAnsi="Century"/>
                <w:b/>
                <w:bCs/>
                <w:sz w:val="20"/>
                <w:szCs w:val="20"/>
                <w:lang w:eastAsia="ru-RU"/>
              </w:rPr>
            </w:pPr>
            <w:r w:rsidRPr="006A22F2">
              <w:rPr>
                <w:rFonts w:ascii="Century" w:hAnsi="Century"/>
                <w:b/>
                <w:bCs/>
                <w:sz w:val="20"/>
                <w:szCs w:val="20"/>
                <w:lang w:eastAsia="ru-RU"/>
              </w:rPr>
              <w:t>Межбюджетные трансферты</w:t>
            </w:r>
          </w:p>
        </w:tc>
        <w:tc>
          <w:tcPr>
            <w:tcW w:w="1109" w:type="dxa"/>
            <w:tcBorders>
              <w:top w:val="single" w:sz="4" w:space="0" w:color="auto"/>
            </w:tcBorders>
            <w:shd w:val="clear" w:color="auto" w:fill="F2F2F2"/>
            <w:vAlign w:val="center"/>
          </w:tcPr>
          <w:p w:rsidR="00133BC5" w:rsidRPr="006A22F2" w:rsidRDefault="00133BC5" w:rsidP="00133BC5">
            <w:pPr>
              <w:spacing w:after="0"/>
              <w:contextualSpacing/>
              <w:jc w:val="right"/>
              <w:rPr>
                <w:rFonts w:ascii="Century" w:hAnsi="Century"/>
                <w:b/>
                <w:bCs/>
                <w:sz w:val="20"/>
                <w:szCs w:val="20"/>
              </w:rPr>
            </w:pPr>
            <w:r w:rsidRPr="006A22F2">
              <w:rPr>
                <w:rFonts w:ascii="Century" w:hAnsi="Century"/>
                <w:b/>
                <w:bCs/>
                <w:sz w:val="20"/>
                <w:szCs w:val="20"/>
              </w:rPr>
              <w:t>1 720</w:t>
            </w:r>
          </w:p>
        </w:tc>
        <w:tc>
          <w:tcPr>
            <w:tcW w:w="1020" w:type="dxa"/>
            <w:tcBorders>
              <w:top w:val="single" w:sz="4" w:space="0" w:color="auto"/>
            </w:tcBorders>
            <w:shd w:val="clear" w:color="auto" w:fill="F2F2F2"/>
            <w:vAlign w:val="center"/>
          </w:tcPr>
          <w:p w:rsidR="00133BC5" w:rsidRPr="006A22F2" w:rsidRDefault="00133BC5" w:rsidP="00133BC5">
            <w:pPr>
              <w:spacing w:after="0"/>
              <w:contextualSpacing/>
              <w:jc w:val="right"/>
              <w:rPr>
                <w:rFonts w:ascii="Century" w:hAnsi="Century"/>
                <w:b/>
                <w:bCs/>
                <w:sz w:val="20"/>
                <w:szCs w:val="20"/>
              </w:rPr>
            </w:pPr>
            <w:r w:rsidRPr="006A22F2">
              <w:rPr>
                <w:rFonts w:ascii="Century" w:hAnsi="Century"/>
                <w:b/>
                <w:bCs/>
                <w:sz w:val="20"/>
                <w:szCs w:val="20"/>
              </w:rPr>
              <w:t>1 779</w:t>
            </w:r>
          </w:p>
        </w:tc>
        <w:tc>
          <w:tcPr>
            <w:tcW w:w="1020" w:type="dxa"/>
            <w:tcBorders>
              <w:top w:val="single" w:sz="4" w:space="0" w:color="auto"/>
            </w:tcBorders>
            <w:shd w:val="clear" w:color="auto" w:fill="F2F2F2"/>
            <w:vAlign w:val="center"/>
          </w:tcPr>
          <w:p w:rsidR="00133BC5" w:rsidRPr="006A22F2" w:rsidRDefault="00133BC5" w:rsidP="00133BC5">
            <w:pPr>
              <w:spacing w:after="0"/>
              <w:contextualSpacing/>
              <w:jc w:val="right"/>
              <w:rPr>
                <w:rFonts w:ascii="Century" w:hAnsi="Century"/>
                <w:b/>
                <w:bCs/>
                <w:sz w:val="20"/>
                <w:szCs w:val="20"/>
              </w:rPr>
            </w:pPr>
            <w:r w:rsidRPr="006A22F2">
              <w:rPr>
                <w:rFonts w:ascii="Century" w:hAnsi="Century"/>
                <w:b/>
                <w:bCs/>
                <w:sz w:val="20"/>
                <w:szCs w:val="20"/>
              </w:rPr>
              <w:t>1 761</w:t>
            </w:r>
          </w:p>
        </w:tc>
        <w:tc>
          <w:tcPr>
            <w:tcW w:w="1020" w:type="dxa"/>
            <w:tcBorders>
              <w:top w:val="single" w:sz="4" w:space="0" w:color="auto"/>
            </w:tcBorders>
            <w:shd w:val="clear" w:color="auto" w:fill="F2F2F2"/>
            <w:vAlign w:val="center"/>
          </w:tcPr>
          <w:p w:rsidR="00133BC5" w:rsidRPr="006A22F2" w:rsidRDefault="00133BC5" w:rsidP="00133BC5">
            <w:pPr>
              <w:spacing w:after="0"/>
              <w:contextualSpacing/>
              <w:jc w:val="right"/>
              <w:rPr>
                <w:rFonts w:ascii="Century" w:hAnsi="Century"/>
                <w:b/>
                <w:bCs/>
                <w:sz w:val="20"/>
                <w:szCs w:val="20"/>
              </w:rPr>
            </w:pPr>
            <w:r w:rsidRPr="006A22F2">
              <w:rPr>
                <w:rFonts w:ascii="Century" w:hAnsi="Century"/>
                <w:b/>
                <w:bCs/>
                <w:sz w:val="20"/>
                <w:szCs w:val="20"/>
              </w:rPr>
              <w:t>1 665</w:t>
            </w:r>
          </w:p>
        </w:tc>
      </w:tr>
      <w:tr w:rsidR="00133BC5" w:rsidRPr="006A22F2" w:rsidTr="006A22F2">
        <w:trPr>
          <w:trHeight w:val="340"/>
        </w:trPr>
        <w:tc>
          <w:tcPr>
            <w:tcW w:w="5070" w:type="dxa"/>
            <w:vAlign w:val="center"/>
          </w:tcPr>
          <w:p w:rsidR="00133BC5" w:rsidRPr="006A22F2" w:rsidRDefault="00133BC5" w:rsidP="00133BC5">
            <w:pPr>
              <w:spacing w:after="0"/>
              <w:contextualSpacing/>
              <w:rPr>
                <w:rFonts w:ascii="Century" w:hAnsi="Century"/>
                <w:b/>
                <w:bCs/>
                <w:sz w:val="20"/>
                <w:szCs w:val="20"/>
                <w:lang w:eastAsia="ru-RU"/>
              </w:rPr>
            </w:pPr>
            <w:r w:rsidRPr="006A22F2">
              <w:rPr>
                <w:rFonts w:ascii="Century" w:hAnsi="Century"/>
                <w:bCs/>
                <w:i/>
                <w:iCs/>
                <w:sz w:val="20"/>
                <w:szCs w:val="20"/>
                <w:lang w:eastAsia="ru-RU"/>
              </w:rPr>
              <w:t>%% ВВП</w:t>
            </w:r>
          </w:p>
        </w:tc>
        <w:tc>
          <w:tcPr>
            <w:tcW w:w="1109"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1,7</w:t>
            </w:r>
          </w:p>
        </w:tc>
        <w:tc>
          <w:tcPr>
            <w:tcW w:w="1020"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1,7</w:t>
            </w:r>
          </w:p>
        </w:tc>
        <w:tc>
          <w:tcPr>
            <w:tcW w:w="1020"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1,5</w:t>
            </w:r>
          </w:p>
        </w:tc>
        <w:tc>
          <w:tcPr>
            <w:tcW w:w="1020"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1,4</w:t>
            </w:r>
          </w:p>
        </w:tc>
      </w:tr>
      <w:tr w:rsidR="00133BC5" w:rsidRPr="006A22F2" w:rsidTr="006A22F2">
        <w:trPr>
          <w:trHeight w:val="340"/>
        </w:trPr>
        <w:tc>
          <w:tcPr>
            <w:tcW w:w="5070" w:type="dxa"/>
            <w:shd w:val="clear" w:color="auto" w:fill="F2F2F2"/>
            <w:vAlign w:val="center"/>
          </w:tcPr>
          <w:p w:rsidR="00133BC5" w:rsidRPr="006A22F2" w:rsidRDefault="00133BC5" w:rsidP="00133BC5">
            <w:pPr>
              <w:spacing w:after="0"/>
              <w:ind w:firstLine="318"/>
              <w:contextualSpacing/>
              <w:rPr>
                <w:rFonts w:ascii="Century" w:hAnsi="Century"/>
                <w:b/>
                <w:bCs/>
                <w:sz w:val="20"/>
                <w:szCs w:val="20"/>
                <w:lang w:eastAsia="ru-RU"/>
              </w:rPr>
            </w:pPr>
            <w:r w:rsidRPr="006A22F2">
              <w:rPr>
                <w:rFonts w:ascii="Century" w:hAnsi="Century"/>
                <w:bCs/>
                <w:sz w:val="20"/>
                <w:szCs w:val="20"/>
                <w:lang w:eastAsia="ru-RU"/>
              </w:rPr>
              <w:t>Дотации</w:t>
            </w:r>
          </w:p>
        </w:tc>
        <w:tc>
          <w:tcPr>
            <w:tcW w:w="1109"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832,0</w:t>
            </w:r>
          </w:p>
        </w:tc>
        <w:tc>
          <w:tcPr>
            <w:tcW w:w="1020"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828,8</w:t>
            </w:r>
          </w:p>
        </w:tc>
        <w:tc>
          <w:tcPr>
            <w:tcW w:w="1020"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828,4</w:t>
            </w:r>
          </w:p>
        </w:tc>
        <w:tc>
          <w:tcPr>
            <w:tcW w:w="1020"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856,8</w:t>
            </w:r>
          </w:p>
        </w:tc>
      </w:tr>
      <w:tr w:rsidR="00133BC5" w:rsidRPr="006A22F2" w:rsidTr="006A22F2">
        <w:trPr>
          <w:trHeight w:val="340"/>
        </w:trPr>
        <w:tc>
          <w:tcPr>
            <w:tcW w:w="5070" w:type="dxa"/>
            <w:vAlign w:val="center"/>
          </w:tcPr>
          <w:p w:rsidR="00133BC5" w:rsidRPr="006A22F2" w:rsidRDefault="00133BC5" w:rsidP="00133BC5">
            <w:pPr>
              <w:spacing w:after="0"/>
              <w:ind w:firstLine="318"/>
              <w:contextualSpacing/>
              <w:rPr>
                <w:rFonts w:ascii="Century" w:hAnsi="Century"/>
                <w:b/>
                <w:bCs/>
                <w:sz w:val="20"/>
                <w:szCs w:val="20"/>
                <w:lang w:eastAsia="ru-RU"/>
              </w:rPr>
            </w:pPr>
            <w:r w:rsidRPr="006A22F2">
              <w:rPr>
                <w:rFonts w:ascii="Century" w:hAnsi="Century"/>
                <w:bCs/>
                <w:i/>
                <w:iCs/>
                <w:sz w:val="20"/>
                <w:szCs w:val="20"/>
                <w:lang w:eastAsia="ru-RU"/>
              </w:rPr>
              <w:t>в % к МБТ (всего)</w:t>
            </w:r>
          </w:p>
        </w:tc>
        <w:tc>
          <w:tcPr>
            <w:tcW w:w="1109"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48,4</w:t>
            </w:r>
          </w:p>
        </w:tc>
        <w:tc>
          <w:tcPr>
            <w:tcW w:w="1020"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46,6</w:t>
            </w:r>
          </w:p>
        </w:tc>
        <w:tc>
          <w:tcPr>
            <w:tcW w:w="1020"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47,0</w:t>
            </w:r>
          </w:p>
        </w:tc>
        <w:tc>
          <w:tcPr>
            <w:tcW w:w="1020"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51,5</w:t>
            </w:r>
          </w:p>
        </w:tc>
      </w:tr>
      <w:tr w:rsidR="00133BC5" w:rsidRPr="006A22F2" w:rsidTr="006A22F2">
        <w:trPr>
          <w:trHeight w:val="340"/>
        </w:trPr>
        <w:tc>
          <w:tcPr>
            <w:tcW w:w="5070" w:type="dxa"/>
            <w:shd w:val="clear" w:color="auto" w:fill="F2F2F2"/>
            <w:vAlign w:val="center"/>
          </w:tcPr>
          <w:p w:rsidR="00133BC5" w:rsidRPr="006A22F2" w:rsidRDefault="00133BC5" w:rsidP="00133BC5">
            <w:pPr>
              <w:spacing w:after="0"/>
              <w:ind w:firstLine="318"/>
              <w:contextualSpacing/>
              <w:rPr>
                <w:rFonts w:ascii="Century" w:hAnsi="Century"/>
                <w:b/>
                <w:bCs/>
                <w:i/>
                <w:iCs/>
                <w:sz w:val="20"/>
                <w:szCs w:val="20"/>
                <w:lang w:eastAsia="ru-RU"/>
              </w:rPr>
            </w:pPr>
            <w:r w:rsidRPr="006A22F2">
              <w:rPr>
                <w:rFonts w:ascii="Century" w:hAnsi="Century"/>
                <w:bCs/>
                <w:sz w:val="20"/>
                <w:szCs w:val="20"/>
                <w:lang w:eastAsia="ru-RU"/>
              </w:rPr>
              <w:t>Субсидии</w:t>
            </w:r>
          </w:p>
        </w:tc>
        <w:tc>
          <w:tcPr>
            <w:tcW w:w="1109"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397,0</w:t>
            </w:r>
          </w:p>
        </w:tc>
        <w:tc>
          <w:tcPr>
            <w:tcW w:w="1020"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445,0</w:t>
            </w:r>
          </w:p>
        </w:tc>
        <w:tc>
          <w:tcPr>
            <w:tcW w:w="1020"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439,2</w:t>
            </w:r>
          </w:p>
        </w:tc>
        <w:tc>
          <w:tcPr>
            <w:tcW w:w="1020"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277,9</w:t>
            </w:r>
          </w:p>
        </w:tc>
      </w:tr>
      <w:tr w:rsidR="00133BC5" w:rsidRPr="006A22F2" w:rsidTr="006A22F2">
        <w:trPr>
          <w:trHeight w:val="340"/>
        </w:trPr>
        <w:tc>
          <w:tcPr>
            <w:tcW w:w="5070" w:type="dxa"/>
            <w:vAlign w:val="center"/>
          </w:tcPr>
          <w:p w:rsidR="00133BC5" w:rsidRPr="006A22F2" w:rsidRDefault="00133BC5" w:rsidP="00133BC5">
            <w:pPr>
              <w:spacing w:after="0"/>
              <w:ind w:firstLine="318"/>
              <w:contextualSpacing/>
              <w:rPr>
                <w:rFonts w:ascii="Century" w:hAnsi="Century"/>
                <w:b/>
                <w:bCs/>
                <w:sz w:val="20"/>
                <w:szCs w:val="20"/>
                <w:lang w:eastAsia="ru-RU"/>
              </w:rPr>
            </w:pPr>
            <w:r w:rsidRPr="006A22F2">
              <w:rPr>
                <w:rFonts w:ascii="Century" w:hAnsi="Century"/>
                <w:bCs/>
                <w:i/>
                <w:iCs/>
                <w:sz w:val="20"/>
                <w:szCs w:val="20"/>
                <w:lang w:eastAsia="ru-RU"/>
              </w:rPr>
              <w:t>в % к МБТ (всего)</w:t>
            </w:r>
          </w:p>
        </w:tc>
        <w:tc>
          <w:tcPr>
            <w:tcW w:w="1109"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23,1</w:t>
            </w:r>
          </w:p>
        </w:tc>
        <w:tc>
          <w:tcPr>
            <w:tcW w:w="1020"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25,0</w:t>
            </w:r>
          </w:p>
        </w:tc>
        <w:tc>
          <w:tcPr>
            <w:tcW w:w="1020"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24,9</w:t>
            </w:r>
          </w:p>
        </w:tc>
        <w:tc>
          <w:tcPr>
            <w:tcW w:w="1020"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16,7</w:t>
            </w:r>
          </w:p>
        </w:tc>
      </w:tr>
      <w:tr w:rsidR="00133BC5" w:rsidRPr="006A22F2" w:rsidTr="006A22F2">
        <w:trPr>
          <w:trHeight w:val="340"/>
        </w:trPr>
        <w:tc>
          <w:tcPr>
            <w:tcW w:w="5070" w:type="dxa"/>
            <w:shd w:val="clear" w:color="auto" w:fill="F2F2F2"/>
            <w:vAlign w:val="center"/>
          </w:tcPr>
          <w:p w:rsidR="00133BC5" w:rsidRPr="006A22F2" w:rsidRDefault="00133BC5" w:rsidP="00133BC5">
            <w:pPr>
              <w:spacing w:after="0"/>
              <w:ind w:firstLine="318"/>
              <w:contextualSpacing/>
              <w:rPr>
                <w:rFonts w:ascii="Century" w:hAnsi="Century"/>
                <w:b/>
                <w:bCs/>
                <w:i/>
                <w:iCs/>
                <w:sz w:val="20"/>
                <w:szCs w:val="20"/>
                <w:lang w:eastAsia="ru-RU"/>
              </w:rPr>
            </w:pPr>
            <w:r w:rsidRPr="006A22F2">
              <w:rPr>
                <w:rFonts w:ascii="Century" w:hAnsi="Century"/>
                <w:bCs/>
                <w:sz w:val="20"/>
                <w:szCs w:val="20"/>
                <w:lang w:eastAsia="ru-RU"/>
              </w:rPr>
              <w:t>Субвенции</w:t>
            </w:r>
          </w:p>
        </w:tc>
        <w:tc>
          <w:tcPr>
            <w:tcW w:w="1109"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309,3</w:t>
            </w:r>
          </w:p>
        </w:tc>
        <w:tc>
          <w:tcPr>
            <w:tcW w:w="1020"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370,3</w:t>
            </w:r>
          </w:p>
        </w:tc>
        <w:tc>
          <w:tcPr>
            <w:tcW w:w="1020"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387,9</w:t>
            </w:r>
          </w:p>
        </w:tc>
        <w:tc>
          <w:tcPr>
            <w:tcW w:w="1020"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393,7</w:t>
            </w:r>
          </w:p>
        </w:tc>
      </w:tr>
      <w:tr w:rsidR="00133BC5" w:rsidRPr="006A22F2" w:rsidTr="006A22F2">
        <w:trPr>
          <w:trHeight w:val="340"/>
        </w:trPr>
        <w:tc>
          <w:tcPr>
            <w:tcW w:w="5070" w:type="dxa"/>
            <w:vAlign w:val="center"/>
          </w:tcPr>
          <w:p w:rsidR="00133BC5" w:rsidRPr="006A22F2" w:rsidRDefault="00133BC5" w:rsidP="00133BC5">
            <w:pPr>
              <w:spacing w:after="0"/>
              <w:ind w:firstLine="318"/>
              <w:contextualSpacing/>
              <w:rPr>
                <w:rFonts w:ascii="Century" w:hAnsi="Century"/>
                <w:b/>
                <w:bCs/>
                <w:sz w:val="20"/>
                <w:szCs w:val="20"/>
                <w:lang w:eastAsia="ru-RU"/>
              </w:rPr>
            </w:pPr>
            <w:r w:rsidRPr="006A22F2">
              <w:rPr>
                <w:rFonts w:ascii="Century" w:hAnsi="Century"/>
                <w:bCs/>
                <w:i/>
                <w:iCs/>
                <w:sz w:val="20"/>
                <w:szCs w:val="20"/>
                <w:lang w:eastAsia="ru-RU"/>
              </w:rPr>
              <w:t>в % к МБТ (всего)</w:t>
            </w:r>
          </w:p>
        </w:tc>
        <w:tc>
          <w:tcPr>
            <w:tcW w:w="1109"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18,0</w:t>
            </w:r>
          </w:p>
        </w:tc>
        <w:tc>
          <w:tcPr>
            <w:tcW w:w="1020"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20,8</w:t>
            </w:r>
          </w:p>
        </w:tc>
        <w:tc>
          <w:tcPr>
            <w:tcW w:w="1020"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22,0</w:t>
            </w:r>
          </w:p>
        </w:tc>
        <w:tc>
          <w:tcPr>
            <w:tcW w:w="1020" w:type="dxa"/>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23,6</w:t>
            </w:r>
          </w:p>
        </w:tc>
      </w:tr>
      <w:tr w:rsidR="00133BC5" w:rsidRPr="006A22F2" w:rsidTr="006A22F2">
        <w:trPr>
          <w:trHeight w:val="340"/>
        </w:trPr>
        <w:tc>
          <w:tcPr>
            <w:tcW w:w="5070" w:type="dxa"/>
            <w:shd w:val="clear" w:color="auto" w:fill="F2F2F2"/>
            <w:vAlign w:val="center"/>
          </w:tcPr>
          <w:p w:rsidR="00133BC5" w:rsidRPr="006A22F2" w:rsidRDefault="00133BC5" w:rsidP="00133BC5">
            <w:pPr>
              <w:spacing w:after="0"/>
              <w:ind w:firstLine="318"/>
              <w:contextualSpacing/>
              <w:rPr>
                <w:rFonts w:ascii="Century" w:hAnsi="Century"/>
                <w:b/>
                <w:bCs/>
                <w:i/>
                <w:iCs/>
                <w:sz w:val="20"/>
                <w:szCs w:val="20"/>
                <w:lang w:eastAsia="ru-RU"/>
              </w:rPr>
            </w:pPr>
            <w:r w:rsidRPr="006A22F2">
              <w:rPr>
                <w:rFonts w:ascii="Century" w:hAnsi="Century"/>
                <w:bCs/>
                <w:sz w:val="20"/>
                <w:szCs w:val="20"/>
                <w:lang w:eastAsia="ru-RU"/>
              </w:rPr>
              <w:t>иные межбюджетные трансферты</w:t>
            </w:r>
          </w:p>
        </w:tc>
        <w:tc>
          <w:tcPr>
            <w:tcW w:w="1109"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181,4</w:t>
            </w:r>
          </w:p>
        </w:tc>
        <w:tc>
          <w:tcPr>
            <w:tcW w:w="1020"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134,7</w:t>
            </w:r>
          </w:p>
        </w:tc>
        <w:tc>
          <w:tcPr>
            <w:tcW w:w="1020"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105,5</w:t>
            </w:r>
          </w:p>
        </w:tc>
        <w:tc>
          <w:tcPr>
            <w:tcW w:w="1020" w:type="dxa"/>
            <w:shd w:val="clear" w:color="auto" w:fill="F2F2F2"/>
            <w:vAlign w:val="center"/>
          </w:tcPr>
          <w:p w:rsidR="00133BC5" w:rsidRPr="006A22F2" w:rsidRDefault="00133BC5" w:rsidP="00133BC5">
            <w:pPr>
              <w:spacing w:after="0"/>
              <w:contextualSpacing/>
              <w:jc w:val="right"/>
              <w:rPr>
                <w:rFonts w:ascii="Century" w:hAnsi="Century"/>
                <w:sz w:val="20"/>
                <w:szCs w:val="20"/>
              </w:rPr>
            </w:pPr>
            <w:r w:rsidRPr="006A22F2">
              <w:rPr>
                <w:rFonts w:ascii="Century" w:hAnsi="Century"/>
                <w:sz w:val="20"/>
                <w:szCs w:val="20"/>
              </w:rPr>
              <w:t>136,5</w:t>
            </w:r>
          </w:p>
        </w:tc>
      </w:tr>
      <w:tr w:rsidR="00133BC5" w:rsidRPr="006A22F2" w:rsidTr="006A22F2">
        <w:trPr>
          <w:trHeight w:val="340"/>
        </w:trPr>
        <w:tc>
          <w:tcPr>
            <w:tcW w:w="5070" w:type="dxa"/>
            <w:tcBorders>
              <w:bottom w:val="single" w:sz="4" w:space="0" w:color="auto"/>
            </w:tcBorders>
            <w:vAlign w:val="center"/>
          </w:tcPr>
          <w:p w:rsidR="00133BC5" w:rsidRPr="006A22F2" w:rsidRDefault="00133BC5" w:rsidP="00133BC5">
            <w:pPr>
              <w:spacing w:after="0"/>
              <w:ind w:firstLine="318"/>
              <w:contextualSpacing/>
              <w:rPr>
                <w:rFonts w:ascii="Century" w:hAnsi="Century"/>
                <w:b/>
                <w:bCs/>
                <w:sz w:val="20"/>
                <w:szCs w:val="20"/>
                <w:lang w:eastAsia="ru-RU"/>
              </w:rPr>
            </w:pPr>
            <w:r w:rsidRPr="006A22F2">
              <w:rPr>
                <w:rFonts w:ascii="Century" w:hAnsi="Century"/>
                <w:bCs/>
                <w:i/>
                <w:iCs/>
                <w:sz w:val="20"/>
                <w:szCs w:val="20"/>
                <w:lang w:eastAsia="ru-RU"/>
              </w:rPr>
              <w:t>в % к МБТ (всего)</w:t>
            </w:r>
          </w:p>
        </w:tc>
        <w:tc>
          <w:tcPr>
            <w:tcW w:w="1109" w:type="dxa"/>
            <w:tcBorders>
              <w:bottom w:val="single" w:sz="4" w:space="0" w:color="auto"/>
            </w:tcBorders>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10,5</w:t>
            </w:r>
          </w:p>
        </w:tc>
        <w:tc>
          <w:tcPr>
            <w:tcW w:w="1020" w:type="dxa"/>
            <w:tcBorders>
              <w:bottom w:val="single" w:sz="4" w:space="0" w:color="auto"/>
            </w:tcBorders>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7,6</w:t>
            </w:r>
          </w:p>
        </w:tc>
        <w:tc>
          <w:tcPr>
            <w:tcW w:w="1020" w:type="dxa"/>
            <w:tcBorders>
              <w:bottom w:val="single" w:sz="4" w:space="0" w:color="auto"/>
            </w:tcBorders>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6,0</w:t>
            </w:r>
          </w:p>
        </w:tc>
        <w:tc>
          <w:tcPr>
            <w:tcW w:w="1020" w:type="dxa"/>
            <w:tcBorders>
              <w:bottom w:val="single" w:sz="4" w:space="0" w:color="auto"/>
            </w:tcBorders>
            <w:vAlign w:val="center"/>
          </w:tcPr>
          <w:p w:rsidR="00133BC5" w:rsidRPr="006A22F2" w:rsidRDefault="00133BC5" w:rsidP="00133BC5">
            <w:pPr>
              <w:spacing w:after="0"/>
              <w:contextualSpacing/>
              <w:jc w:val="right"/>
              <w:rPr>
                <w:rFonts w:ascii="Century" w:hAnsi="Century"/>
                <w:i/>
                <w:iCs/>
                <w:sz w:val="20"/>
                <w:szCs w:val="20"/>
              </w:rPr>
            </w:pPr>
            <w:r w:rsidRPr="006A22F2">
              <w:rPr>
                <w:rFonts w:ascii="Century" w:hAnsi="Century"/>
                <w:i/>
                <w:iCs/>
                <w:sz w:val="20"/>
                <w:szCs w:val="20"/>
              </w:rPr>
              <w:t>8,2</w:t>
            </w:r>
          </w:p>
        </w:tc>
      </w:tr>
    </w:tbl>
    <w:p w:rsidR="00133BC5" w:rsidRPr="006A22F2" w:rsidRDefault="00133BC5" w:rsidP="006A22F2">
      <w:pPr>
        <w:autoSpaceDE w:val="0"/>
        <w:autoSpaceDN w:val="0"/>
        <w:adjustRightInd w:val="0"/>
        <w:spacing w:after="120"/>
        <w:jc w:val="both"/>
        <w:rPr>
          <w:rFonts w:ascii="Times New Roman" w:hAnsi="Times New Roman"/>
          <w:sz w:val="24"/>
          <w:szCs w:val="28"/>
          <w:highlight w:val="lightGray"/>
          <w:lang w:eastAsia="ru-RU"/>
        </w:rPr>
      </w:pPr>
      <w:r w:rsidRPr="006A22F2">
        <w:rPr>
          <w:rFonts w:ascii="Times New Roman" w:hAnsi="Times New Roman"/>
          <w:sz w:val="24"/>
          <w:szCs w:val="28"/>
          <w:lang w:eastAsia="ru-RU"/>
        </w:rPr>
        <w:t xml:space="preserve">Оказание поддержки со стороны федерального бюджета в финансировании первоочередных расходов регионов будет продолжено путем предоставления </w:t>
      </w:r>
      <w:r w:rsidRPr="006A22F2">
        <w:rPr>
          <w:rFonts w:ascii="Times New Roman" w:hAnsi="Times New Roman"/>
          <w:b/>
          <w:sz w:val="24"/>
          <w:szCs w:val="28"/>
          <w:lang w:eastAsia="ru-RU"/>
        </w:rPr>
        <w:t>дотаций на выравнивание бюджетной обеспеченности</w:t>
      </w:r>
      <w:r w:rsidRPr="006A22F2">
        <w:rPr>
          <w:rFonts w:ascii="Times New Roman" w:hAnsi="Times New Roman"/>
          <w:sz w:val="24"/>
          <w:szCs w:val="28"/>
          <w:lang w:eastAsia="ru-RU"/>
        </w:rPr>
        <w:t xml:space="preserve"> субъектов, которые сохранят ведущую роль в системе межбюджетного регулирования. </w:t>
      </w:r>
    </w:p>
    <w:p w:rsidR="00133BC5" w:rsidRPr="006A22F2" w:rsidRDefault="00133BC5" w:rsidP="006A22F2">
      <w:pPr>
        <w:spacing w:after="120"/>
        <w:jc w:val="both"/>
        <w:rPr>
          <w:rFonts w:ascii="Times New Roman" w:hAnsi="Times New Roman"/>
          <w:sz w:val="24"/>
          <w:szCs w:val="28"/>
          <w:lang w:eastAsia="ru-RU"/>
        </w:rPr>
      </w:pPr>
      <w:r w:rsidRPr="006A22F2">
        <w:rPr>
          <w:rFonts w:ascii="Times New Roman" w:hAnsi="Times New Roman"/>
          <w:sz w:val="24"/>
          <w:szCs w:val="28"/>
          <w:lang w:eastAsia="ru-RU"/>
        </w:rPr>
        <w:t xml:space="preserve">Предоставление </w:t>
      </w:r>
      <w:r w:rsidRPr="006A22F2">
        <w:rPr>
          <w:rFonts w:ascii="Times New Roman" w:hAnsi="Times New Roman"/>
          <w:b/>
          <w:sz w:val="24"/>
          <w:szCs w:val="28"/>
          <w:lang w:eastAsia="ru-RU"/>
        </w:rPr>
        <w:t>субсидий и иных межбюджетных трансфертов</w:t>
      </w:r>
      <w:r w:rsidRPr="006A22F2">
        <w:rPr>
          <w:rFonts w:ascii="Times New Roman" w:hAnsi="Times New Roman"/>
          <w:sz w:val="24"/>
          <w:szCs w:val="28"/>
          <w:lang w:eastAsia="ru-RU"/>
        </w:rPr>
        <w:t xml:space="preserve"> предполагается осуществлять с учетом необходимости </w:t>
      </w:r>
      <w:r w:rsidRPr="006A22F2">
        <w:rPr>
          <w:rFonts w:ascii="Times New Roman" w:hAnsi="Times New Roman"/>
          <w:b/>
          <w:sz w:val="24"/>
          <w:szCs w:val="28"/>
          <w:lang w:eastAsia="ru-RU"/>
        </w:rPr>
        <w:t>сокращения</w:t>
      </w:r>
      <w:r w:rsidRPr="006A22F2">
        <w:rPr>
          <w:rFonts w:ascii="Times New Roman" w:hAnsi="Times New Roman"/>
          <w:sz w:val="24"/>
          <w:szCs w:val="28"/>
          <w:lang w:eastAsia="ru-RU"/>
        </w:rPr>
        <w:t xml:space="preserve"> количества указанных межбюджетных трансфертов, в том числе путем </w:t>
      </w:r>
      <w:r w:rsidRPr="006A22F2">
        <w:rPr>
          <w:rFonts w:ascii="Times New Roman" w:hAnsi="Times New Roman"/>
          <w:b/>
          <w:sz w:val="24"/>
          <w:szCs w:val="28"/>
          <w:lang w:eastAsia="ru-RU"/>
        </w:rPr>
        <w:t>консолидации</w:t>
      </w:r>
      <w:r w:rsidRPr="006A22F2">
        <w:rPr>
          <w:rFonts w:ascii="Times New Roman" w:hAnsi="Times New Roman"/>
          <w:sz w:val="24"/>
          <w:szCs w:val="28"/>
          <w:lang w:eastAsia="ru-RU"/>
        </w:rPr>
        <w:t xml:space="preserve">, исходя из необходимости объединения различных видов трансфертов, предоставляемых на одинаковые или близкие цели, для повышении самостоятельности органов </w:t>
      </w:r>
      <w:r w:rsidRPr="006A22F2">
        <w:rPr>
          <w:rFonts w:ascii="Times New Roman" w:hAnsi="Times New Roman"/>
          <w:sz w:val="24"/>
          <w:szCs w:val="28"/>
          <w:lang w:eastAsia="ru-RU"/>
        </w:rPr>
        <w:lastRenderedPageBreak/>
        <w:t>государственной власти субъектов Российской Федерации в выборе способов достижения поставленных целей при использовании межбюджетных трансфертов.</w:t>
      </w:r>
    </w:p>
    <w:p w:rsidR="00133BC5" w:rsidRPr="006A22F2" w:rsidRDefault="00133BC5" w:rsidP="006A22F2">
      <w:pPr>
        <w:spacing w:after="120"/>
        <w:jc w:val="both"/>
        <w:rPr>
          <w:rFonts w:ascii="Times New Roman" w:hAnsi="Times New Roman"/>
          <w:sz w:val="24"/>
          <w:szCs w:val="28"/>
          <w:lang w:eastAsia="ru-RU"/>
        </w:rPr>
      </w:pPr>
      <w:r w:rsidRPr="006A22F2">
        <w:rPr>
          <w:rFonts w:ascii="Times New Roman" w:hAnsi="Times New Roman"/>
          <w:sz w:val="24"/>
          <w:szCs w:val="28"/>
          <w:lang w:eastAsia="ru-RU"/>
        </w:rPr>
        <w:t xml:space="preserve">Предполагается предоставление </w:t>
      </w:r>
      <w:r w:rsidRPr="006A22F2">
        <w:rPr>
          <w:rFonts w:ascii="Times New Roman" w:hAnsi="Times New Roman"/>
          <w:b/>
          <w:sz w:val="24"/>
          <w:szCs w:val="28"/>
          <w:lang w:eastAsia="ru-RU"/>
        </w:rPr>
        <w:t>субсидий</w:t>
      </w:r>
      <w:r w:rsidRPr="006A22F2">
        <w:rPr>
          <w:rFonts w:ascii="Times New Roman" w:hAnsi="Times New Roman"/>
          <w:sz w:val="24"/>
          <w:szCs w:val="28"/>
          <w:lang w:eastAsia="ru-RU"/>
        </w:rPr>
        <w:t xml:space="preserve"> бюджетам субъектов с поэтапным переходом на предоставление </w:t>
      </w:r>
      <w:r w:rsidRPr="006A22F2">
        <w:rPr>
          <w:rFonts w:ascii="Times New Roman" w:hAnsi="Times New Roman"/>
          <w:b/>
          <w:sz w:val="24"/>
          <w:szCs w:val="28"/>
          <w:lang w:eastAsia="ru-RU"/>
        </w:rPr>
        <w:t>консолидированной субсидии</w:t>
      </w:r>
      <w:r w:rsidRPr="006A22F2">
        <w:rPr>
          <w:rFonts w:ascii="Times New Roman" w:hAnsi="Times New Roman"/>
          <w:sz w:val="24"/>
          <w:szCs w:val="28"/>
          <w:lang w:eastAsia="ru-RU"/>
        </w:rPr>
        <w:t xml:space="preserve"> в рамках соответствующей госпрограммы (подпрограммы), в том числе за счет постепенной оптимизации иных межбюджетных трансфертов и их перевода в другие более формализованные формы межбюджетных трансфертов или выплат за счет средств федерального бюджета.</w:t>
      </w:r>
    </w:p>
    <w:p w:rsidR="00133BC5" w:rsidRPr="006A22F2" w:rsidRDefault="00133BC5" w:rsidP="006A22F2">
      <w:pPr>
        <w:spacing w:after="120"/>
        <w:jc w:val="both"/>
        <w:rPr>
          <w:rFonts w:ascii="Times New Roman" w:hAnsi="Times New Roman"/>
          <w:sz w:val="24"/>
          <w:szCs w:val="28"/>
          <w:lang w:eastAsia="ru-RU"/>
        </w:rPr>
      </w:pPr>
      <w:r w:rsidRPr="006A22F2">
        <w:rPr>
          <w:rFonts w:ascii="Times New Roman" w:hAnsi="Times New Roman"/>
          <w:sz w:val="24"/>
          <w:szCs w:val="28"/>
          <w:lang w:eastAsia="ru-RU"/>
        </w:rPr>
        <w:t>Субвенции на финансирование публичных нормативных обязательств будут проиндексированы с учетом уровня ожидаемой инфляции.</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Обеспечение устойчивого и сбалансированного исполнения бюджетов субъектов, сохранение безопасного уровня долговой нагрузки должно быть обеспечено за счет принятия и реализации субъектами программ оздоровления государственных финансов с учетом методической поддержки Минфина России. Указанные программы должны быть сформированы на основании типовой программы по следующим направлениям:</w:t>
      </w:r>
    </w:p>
    <w:p w:rsidR="00133BC5" w:rsidRPr="006A22F2" w:rsidRDefault="00133BC5" w:rsidP="006A22F2">
      <w:pPr>
        <w:pStyle w:val="aa"/>
        <w:numPr>
          <w:ilvl w:val="0"/>
          <w:numId w:val="5"/>
        </w:numPr>
        <w:spacing w:after="120"/>
        <w:ind w:left="357" w:hanging="357"/>
        <w:contextualSpacing w:val="0"/>
        <w:jc w:val="both"/>
        <w:rPr>
          <w:rFonts w:ascii="Times New Roman" w:hAnsi="Times New Roman"/>
          <w:sz w:val="24"/>
        </w:rPr>
      </w:pPr>
      <w:r w:rsidRPr="006A22F2">
        <w:rPr>
          <w:rFonts w:ascii="Times New Roman" w:hAnsi="Times New Roman"/>
          <w:sz w:val="24"/>
        </w:rPr>
        <w:t>увеличение поступлений налоговых и неналоговых доходов;</w:t>
      </w:r>
    </w:p>
    <w:p w:rsidR="00133BC5" w:rsidRPr="006A22F2" w:rsidRDefault="00133BC5" w:rsidP="006A22F2">
      <w:pPr>
        <w:pStyle w:val="aa"/>
        <w:numPr>
          <w:ilvl w:val="0"/>
          <w:numId w:val="5"/>
        </w:numPr>
        <w:spacing w:after="120"/>
        <w:ind w:left="357" w:hanging="357"/>
        <w:contextualSpacing w:val="0"/>
        <w:jc w:val="both"/>
        <w:rPr>
          <w:rFonts w:ascii="Times New Roman" w:hAnsi="Times New Roman"/>
          <w:sz w:val="24"/>
        </w:rPr>
      </w:pPr>
      <w:r w:rsidRPr="006A22F2">
        <w:rPr>
          <w:rFonts w:ascii="Times New Roman" w:hAnsi="Times New Roman"/>
          <w:sz w:val="24"/>
        </w:rPr>
        <w:t>оптимизация бюджетных расходов;</w:t>
      </w:r>
    </w:p>
    <w:p w:rsidR="00133BC5" w:rsidRPr="006A22F2" w:rsidRDefault="00133BC5" w:rsidP="006A22F2">
      <w:pPr>
        <w:pStyle w:val="aa"/>
        <w:numPr>
          <w:ilvl w:val="0"/>
          <w:numId w:val="5"/>
        </w:numPr>
        <w:spacing w:after="120"/>
        <w:ind w:left="357" w:hanging="357"/>
        <w:contextualSpacing w:val="0"/>
        <w:jc w:val="both"/>
        <w:rPr>
          <w:rFonts w:ascii="Times New Roman" w:hAnsi="Times New Roman"/>
          <w:sz w:val="24"/>
        </w:rPr>
      </w:pPr>
      <w:r w:rsidRPr="006A22F2">
        <w:rPr>
          <w:rFonts w:ascii="Times New Roman" w:hAnsi="Times New Roman"/>
          <w:sz w:val="24"/>
        </w:rPr>
        <w:t>совершенствование межбюджетных отношений на региональном уровне;</w:t>
      </w:r>
    </w:p>
    <w:p w:rsidR="00133BC5" w:rsidRPr="006A22F2" w:rsidRDefault="00133BC5" w:rsidP="006A22F2">
      <w:pPr>
        <w:pStyle w:val="aa"/>
        <w:numPr>
          <w:ilvl w:val="0"/>
          <w:numId w:val="5"/>
        </w:numPr>
        <w:spacing w:after="120"/>
        <w:ind w:left="357" w:hanging="357"/>
        <w:contextualSpacing w:val="0"/>
        <w:jc w:val="both"/>
        <w:rPr>
          <w:rFonts w:ascii="Times New Roman" w:hAnsi="Times New Roman"/>
          <w:sz w:val="24"/>
        </w:rPr>
      </w:pPr>
      <w:r w:rsidRPr="006A22F2">
        <w:rPr>
          <w:rFonts w:ascii="Times New Roman" w:hAnsi="Times New Roman"/>
          <w:sz w:val="24"/>
        </w:rPr>
        <w:t>сокращение долговой нагрузки;</w:t>
      </w:r>
    </w:p>
    <w:p w:rsidR="00133BC5" w:rsidRPr="006A22F2" w:rsidRDefault="00133BC5" w:rsidP="006A22F2">
      <w:pPr>
        <w:pStyle w:val="aa"/>
        <w:numPr>
          <w:ilvl w:val="0"/>
          <w:numId w:val="5"/>
        </w:numPr>
        <w:spacing w:after="120"/>
        <w:ind w:left="357" w:hanging="357"/>
        <w:contextualSpacing w:val="0"/>
        <w:jc w:val="both"/>
        <w:rPr>
          <w:rFonts w:ascii="Times New Roman" w:hAnsi="Times New Roman"/>
          <w:sz w:val="24"/>
        </w:rPr>
      </w:pPr>
      <w:r w:rsidRPr="006A22F2">
        <w:rPr>
          <w:rFonts w:ascii="Times New Roman" w:hAnsi="Times New Roman"/>
          <w:sz w:val="24"/>
        </w:rPr>
        <w:t>утверждение (исполнение) субъектом дефицита бюджета на уровне не более 10% общего годового объема доходов бюджета без учета утвержденного объема безвозмездных поступлений.</w:t>
      </w:r>
    </w:p>
    <w:p w:rsidR="00133BC5" w:rsidRPr="00920E8A" w:rsidRDefault="00133BC5" w:rsidP="00133BC5">
      <w:pPr>
        <w:pStyle w:val="aa"/>
        <w:ind w:left="357"/>
        <w:contextualSpacing w:val="0"/>
      </w:pPr>
    </w:p>
    <w:p w:rsidR="00133BC5" w:rsidRPr="00920E8A" w:rsidRDefault="00133BC5" w:rsidP="00133BC5">
      <w:pPr>
        <w:pStyle w:val="20"/>
        <w:numPr>
          <w:ilvl w:val="1"/>
          <w:numId w:val="3"/>
        </w:numPr>
        <w:spacing w:before="240" w:after="240"/>
        <w:rPr>
          <w:rFonts w:ascii="Times New Roman" w:hAnsi="Times New Roman"/>
          <w:sz w:val="28"/>
          <w:szCs w:val="28"/>
        </w:rPr>
      </w:pPr>
      <w:bookmarkStart w:id="30" w:name="_Toc486933332"/>
      <w:bookmarkStart w:id="31" w:name="_Toc518648661"/>
      <w:r w:rsidRPr="00920E8A">
        <w:rPr>
          <w:rFonts w:ascii="Times New Roman" w:hAnsi="Times New Roman"/>
          <w:sz w:val="28"/>
          <w:szCs w:val="28"/>
        </w:rPr>
        <w:t>ГОСУДАРСТВЕННЫЕ ВНЕБЮДЖЕТНЫЕ ФОНДЫ</w:t>
      </w:r>
      <w:bookmarkEnd w:id="30"/>
      <w:bookmarkEnd w:id="31"/>
    </w:p>
    <w:p w:rsidR="00133BC5" w:rsidRPr="006A22F2" w:rsidRDefault="00133BC5" w:rsidP="006A22F2">
      <w:pPr>
        <w:jc w:val="both"/>
        <w:rPr>
          <w:rFonts w:ascii="Times New Roman" w:hAnsi="Times New Roman"/>
          <w:sz w:val="24"/>
        </w:rPr>
      </w:pPr>
      <w:r w:rsidRPr="006A22F2">
        <w:rPr>
          <w:rFonts w:ascii="Times New Roman" w:hAnsi="Times New Roman"/>
          <w:sz w:val="24"/>
        </w:rPr>
        <w:t>Формирование бюджетов государственных внебюджетных фондов в 2019-2021 гг. осуществляется в соответствии с Налоговым кодексом и законодательством о конкретных видах обязательного социального страхования.</w:t>
      </w:r>
    </w:p>
    <w:p w:rsidR="00133BC5" w:rsidRPr="006A22F2" w:rsidRDefault="00133BC5" w:rsidP="00133BC5">
      <w:pPr>
        <w:rPr>
          <w:rFonts w:ascii="Times New Roman" w:hAnsi="Times New Roman"/>
          <w:sz w:val="28"/>
          <w:szCs w:val="28"/>
        </w:rPr>
      </w:pPr>
      <w:r w:rsidRPr="006A22F2">
        <w:rPr>
          <w:rFonts w:ascii="Times New Roman" w:hAnsi="Times New Roman"/>
          <w:b/>
          <w:sz w:val="28"/>
          <w:szCs w:val="28"/>
        </w:rPr>
        <w:t>Пенсионный фонд</w:t>
      </w:r>
    </w:p>
    <w:p w:rsidR="00133BC5" w:rsidRPr="006A22F2" w:rsidRDefault="00133BC5" w:rsidP="000355D2">
      <w:pPr>
        <w:jc w:val="both"/>
        <w:rPr>
          <w:rFonts w:ascii="Times New Roman" w:hAnsi="Times New Roman"/>
          <w:sz w:val="24"/>
          <w:szCs w:val="28"/>
        </w:rPr>
      </w:pPr>
      <w:r w:rsidRPr="006A22F2">
        <w:rPr>
          <w:rFonts w:ascii="Times New Roman" w:hAnsi="Times New Roman"/>
          <w:sz w:val="24"/>
          <w:szCs w:val="28"/>
        </w:rPr>
        <w:t>Параметры Пенсионного фонда Российской Федерации рассчитаны с учетом предложенных Правительством Российской Федерации мер, направленных на повышение уровня благосостояния пенсионеров и обеспечение долгосрочной устойчивости системы пенсионного страхования.</w:t>
      </w:r>
    </w:p>
    <w:p w:rsidR="00133BC5" w:rsidRPr="006A22F2" w:rsidRDefault="00133BC5" w:rsidP="000355D2">
      <w:pPr>
        <w:jc w:val="both"/>
        <w:rPr>
          <w:rFonts w:ascii="Times New Roman" w:hAnsi="Times New Roman"/>
          <w:sz w:val="24"/>
          <w:szCs w:val="28"/>
        </w:rPr>
      </w:pPr>
      <w:r w:rsidRPr="006A22F2">
        <w:rPr>
          <w:rFonts w:ascii="Times New Roman" w:hAnsi="Times New Roman"/>
          <w:sz w:val="24"/>
          <w:szCs w:val="28"/>
        </w:rPr>
        <w:t>Эффект от реализации данных мер на среднесрочную перспективу выражается в устойчивом росте собственных доходов Пенсионного фонда в 2019-2021 годах (+5,9%, +4,8% и +6,8% соответственно), а также снижении начиная с 2020 года трансферта из федерального бюджета на обязательное пенсионное страхование.</w:t>
      </w:r>
    </w:p>
    <w:p w:rsidR="00133BC5" w:rsidRPr="006A22F2" w:rsidRDefault="00133BC5" w:rsidP="00133BC5">
      <w:pPr>
        <w:rPr>
          <w:rFonts w:ascii="Times New Roman" w:hAnsi="Times New Roman"/>
          <w:bCs/>
          <w:sz w:val="24"/>
          <w:szCs w:val="28"/>
        </w:rPr>
      </w:pPr>
      <w:r w:rsidRPr="006A22F2">
        <w:rPr>
          <w:rFonts w:ascii="Times New Roman" w:hAnsi="Times New Roman"/>
          <w:b/>
          <w:sz w:val="24"/>
          <w:szCs w:val="28"/>
        </w:rPr>
        <w:lastRenderedPageBreak/>
        <w:t>Таблица 4.3.1</w:t>
      </w:r>
      <w:r w:rsidRPr="006A22F2">
        <w:rPr>
          <w:rFonts w:ascii="Times New Roman" w:hAnsi="Times New Roman"/>
          <w:b/>
          <w:sz w:val="24"/>
        </w:rPr>
        <w:t>.</w:t>
      </w:r>
      <w:r w:rsidRPr="006A22F2">
        <w:rPr>
          <w:rFonts w:ascii="Times New Roman" w:hAnsi="Times New Roman"/>
          <w:sz w:val="24"/>
          <w:szCs w:val="28"/>
        </w:rPr>
        <w:t xml:space="preserve"> </w:t>
      </w:r>
      <w:r w:rsidRPr="006A22F2">
        <w:rPr>
          <w:rFonts w:ascii="Times New Roman" w:hAnsi="Times New Roman"/>
          <w:bCs/>
          <w:sz w:val="24"/>
          <w:szCs w:val="28"/>
        </w:rPr>
        <w:t>Основные характеристики бюджета Пенсионного фонда в 2018-2021*</w:t>
      </w:r>
    </w:p>
    <w:p w:rsidR="00133BC5" w:rsidRPr="006A22F2" w:rsidRDefault="00133BC5" w:rsidP="00133BC5">
      <w:pPr>
        <w:spacing w:after="0" w:line="240" w:lineRule="auto"/>
        <w:jc w:val="right"/>
        <w:rPr>
          <w:rFonts w:ascii="Times New Roman" w:hAnsi="Times New Roman"/>
          <w:i/>
          <w:szCs w:val="28"/>
        </w:rPr>
      </w:pPr>
      <w:r w:rsidRPr="006A22F2">
        <w:rPr>
          <w:rFonts w:ascii="Times New Roman" w:hAnsi="Times New Roman"/>
          <w:i/>
          <w:szCs w:val="28"/>
        </w:rPr>
        <w:t>млрд  рублей</w:t>
      </w:r>
    </w:p>
    <w:tbl>
      <w:tblPr>
        <w:tblW w:w="9287" w:type="dxa"/>
        <w:tblLayout w:type="fixed"/>
        <w:tblLook w:val="00A0" w:firstRow="1" w:lastRow="0" w:firstColumn="1" w:lastColumn="0" w:noHBand="0" w:noVBand="0"/>
      </w:tblPr>
      <w:tblGrid>
        <w:gridCol w:w="5211"/>
        <w:gridCol w:w="1019"/>
        <w:gridCol w:w="1019"/>
        <w:gridCol w:w="1019"/>
        <w:gridCol w:w="1019"/>
      </w:tblGrid>
      <w:tr w:rsidR="00133BC5" w:rsidRPr="00920E8A" w:rsidTr="006A22F2">
        <w:trPr>
          <w:trHeight w:val="340"/>
        </w:trPr>
        <w:tc>
          <w:tcPr>
            <w:tcW w:w="5211" w:type="dxa"/>
            <w:tcBorders>
              <w:top w:val="nil"/>
              <w:left w:val="nil"/>
              <w:bottom w:val="single" w:sz="4" w:space="0" w:color="auto"/>
              <w:right w:val="nil"/>
            </w:tcBorders>
          </w:tcPr>
          <w:p w:rsidR="00133BC5" w:rsidRPr="00920E8A" w:rsidRDefault="00133BC5" w:rsidP="00133BC5">
            <w:pPr>
              <w:spacing w:after="0"/>
              <w:contextualSpacing/>
              <w:rPr>
                <w:rFonts w:ascii="Century" w:hAnsi="Century"/>
                <w:b/>
                <w:bCs/>
                <w:szCs w:val="20"/>
              </w:rPr>
            </w:pPr>
            <w:r w:rsidRPr="00920E8A">
              <w:rPr>
                <w:rFonts w:ascii="Century" w:hAnsi="Century"/>
                <w:b/>
                <w:bCs/>
                <w:szCs w:val="20"/>
              </w:rPr>
              <w:t>Показатель</w:t>
            </w:r>
          </w:p>
        </w:tc>
        <w:tc>
          <w:tcPr>
            <w:tcW w:w="1019" w:type="dxa"/>
            <w:tcBorders>
              <w:top w:val="nil"/>
              <w:left w:val="nil"/>
              <w:bottom w:val="single" w:sz="4" w:space="0" w:color="auto"/>
              <w:right w:val="nil"/>
            </w:tcBorders>
          </w:tcPr>
          <w:p w:rsidR="00133BC5" w:rsidRPr="00920E8A" w:rsidRDefault="00133BC5" w:rsidP="00133BC5">
            <w:pPr>
              <w:spacing w:after="0"/>
              <w:contextualSpacing/>
              <w:jc w:val="center"/>
              <w:rPr>
                <w:rFonts w:ascii="Century" w:hAnsi="Century"/>
                <w:b/>
                <w:bCs/>
                <w:szCs w:val="20"/>
              </w:rPr>
            </w:pPr>
            <w:r w:rsidRPr="00920E8A">
              <w:rPr>
                <w:rFonts w:ascii="Century" w:hAnsi="Century"/>
                <w:b/>
                <w:bCs/>
                <w:szCs w:val="20"/>
              </w:rPr>
              <w:t>20</w:t>
            </w:r>
            <w:r w:rsidRPr="00920E8A">
              <w:rPr>
                <w:rFonts w:ascii="Century" w:hAnsi="Century"/>
                <w:b/>
                <w:bCs/>
                <w:szCs w:val="20"/>
                <w:lang w:val="en-US"/>
              </w:rPr>
              <w:t>1</w:t>
            </w:r>
            <w:r w:rsidRPr="00920E8A">
              <w:rPr>
                <w:rFonts w:ascii="Century" w:hAnsi="Century"/>
                <w:b/>
                <w:bCs/>
                <w:szCs w:val="20"/>
              </w:rPr>
              <w:t>8</w:t>
            </w:r>
          </w:p>
        </w:tc>
        <w:tc>
          <w:tcPr>
            <w:tcW w:w="1019" w:type="dxa"/>
            <w:tcBorders>
              <w:top w:val="nil"/>
              <w:left w:val="nil"/>
              <w:bottom w:val="single" w:sz="4" w:space="0" w:color="auto"/>
              <w:right w:val="nil"/>
            </w:tcBorders>
          </w:tcPr>
          <w:p w:rsidR="00133BC5" w:rsidRPr="00920E8A" w:rsidRDefault="00133BC5" w:rsidP="00133BC5">
            <w:pPr>
              <w:spacing w:after="0"/>
              <w:contextualSpacing/>
              <w:jc w:val="center"/>
              <w:rPr>
                <w:rFonts w:ascii="Century" w:hAnsi="Century"/>
                <w:b/>
                <w:bCs/>
                <w:szCs w:val="20"/>
              </w:rPr>
            </w:pPr>
            <w:r w:rsidRPr="00920E8A">
              <w:rPr>
                <w:rFonts w:ascii="Century" w:hAnsi="Century"/>
                <w:b/>
                <w:bCs/>
                <w:szCs w:val="20"/>
              </w:rPr>
              <w:t>2019</w:t>
            </w:r>
          </w:p>
        </w:tc>
        <w:tc>
          <w:tcPr>
            <w:tcW w:w="1019" w:type="dxa"/>
            <w:tcBorders>
              <w:top w:val="nil"/>
              <w:left w:val="nil"/>
              <w:bottom w:val="single" w:sz="4" w:space="0" w:color="auto"/>
              <w:right w:val="nil"/>
            </w:tcBorders>
          </w:tcPr>
          <w:p w:rsidR="00133BC5" w:rsidRPr="00920E8A" w:rsidRDefault="00133BC5" w:rsidP="00133BC5">
            <w:pPr>
              <w:spacing w:after="0"/>
              <w:contextualSpacing/>
              <w:jc w:val="center"/>
              <w:rPr>
                <w:rFonts w:ascii="Century" w:hAnsi="Century"/>
                <w:b/>
                <w:bCs/>
                <w:szCs w:val="20"/>
              </w:rPr>
            </w:pPr>
            <w:r w:rsidRPr="00920E8A">
              <w:rPr>
                <w:rFonts w:ascii="Century" w:hAnsi="Century"/>
                <w:b/>
                <w:bCs/>
                <w:szCs w:val="20"/>
              </w:rPr>
              <w:t>2020</w:t>
            </w:r>
          </w:p>
        </w:tc>
        <w:tc>
          <w:tcPr>
            <w:tcW w:w="1019" w:type="dxa"/>
            <w:tcBorders>
              <w:top w:val="nil"/>
              <w:left w:val="nil"/>
              <w:bottom w:val="single" w:sz="4" w:space="0" w:color="auto"/>
              <w:right w:val="nil"/>
            </w:tcBorders>
          </w:tcPr>
          <w:p w:rsidR="00133BC5" w:rsidRPr="00920E8A" w:rsidRDefault="00133BC5" w:rsidP="00133BC5">
            <w:pPr>
              <w:spacing w:after="0"/>
              <w:contextualSpacing/>
              <w:jc w:val="center"/>
              <w:rPr>
                <w:rFonts w:ascii="Century" w:hAnsi="Century"/>
                <w:b/>
                <w:bCs/>
                <w:szCs w:val="20"/>
              </w:rPr>
            </w:pPr>
            <w:r w:rsidRPr="00920E8A">
              <w:rPr>
                <w:rFonts w:ascii="Century" w:hAnsi="Century"/>
                <w:b/>
                <w:bCs/>
                <w:szCs w:val="20"/>
              </w:rPr>
              <w:t>20</w:t>
            </w:r>
            <w:r w:rsidRPr="00920E8A">
              <w:rPr>
                <w:rFonts w:ascii="Century" w:hAnsi="Century"/>
                <w:b/>
                <w:bCs/>
                <w:szCs w:val="20"/>
                <w:lang w:val="en-US"/>
              </w:rPr>
              <w:t>2</w:t>
            </w:r>
            <w:r w:rsidRPr="00920E8A">
              <w:rPr>
                <w:rFonts w:ascii="Century" w:hAnsi="Century"/>
                <w:b/>
                <w:bCs/>
                <w:szCs w:val="20"/>
              </w:rPr>
              <w:t>1</w:t>
            </w:r>
          </w:p>
        </w:tc>
      </w:tr>
      <w:tr w:rsidR="00133BC5" w:rsidRPr="00777CD0" w:rsidTr="006A22F2">
        <w:trPr>
          <w:trHeight w:val="340"/>
        </w:trPr>
        <w:tc>
          <w:tcPr>
            <w:tcW w:w="5211" w:type="dxa"/>
            <w:shd w:val="clear" w:color="auto" w:fill="F2F2F2" w:themeFill="background1" w:themeFillShade="F2"/>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
                <w:bCs/>
                <w:sz w:val="20"/>
                <w:szCs w:val="20"/>
              </w:rPr>
              <w:t>Доходы</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8 236</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8 588</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8 903</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9 167</w:t>
            </w:r>
          </w:p>
        </w:tc>
      </w:tr>
      <w:tr w:rsidR="00133BC5" w:rsidRPr="00777CD0" w:rsidTr="006A22F2">
        <w:trPr>
          <w:trHeight w:val="340"/>
        </w:trPr>
        <w:tc>
          <w:tcPr>
            <w:tcW w:w="5211" w:type="dxa"/>
            <w:vAlign w:val="center"/>
          </w:tcPr>
          <w:p w:rsidR="00133BC5" w:rsidRPr="00920E8A" w:rsidRDefault="00133BC5" w:rsidP="00133BC5">
            <w:pPr>
              <w:spacing w:after="0"/>
              <w:contextualSpacing/>
              <w:rPr>
                <w:rFonts w:ascii="Century" w:hAnsi="Century"/>
                <w:b/>
                <w:bCs/>
                <w:iCs/>
                <w:sz w:val="20"/>
                <w:szCs w:val="20"/>
                <w:lang w:eastAsia="ru-RU"/>
              </w:rPr>
            </w:pPr>
            <w:r w:rsidRPr="00920E8A">
              <w:rPr>
                <w:rFonts w:ascii="Century" w:hAnsi="Century"/>
                <w:bCs/>
                <w:sz w:val="20"/>
                <w:szCs w:val="20"/>
              </w:rPr>
              <w:t>Межбюджетные трансферты</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3 349,2</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3 413,7</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3 483,2</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3 376,8</w:t>
            </w:r>
          </w:p>
        </w:tc>
      </w:tr>
      <w:tr w:rsidR="00133BC5" w:rsidRPr="00777CD0" w:rsidTr="006A22F2">
        <w:trPr>
          <w:trHeight w:val="340"/>
        </w:trPr>
        <w:tc>
          <w:tcPr>
            <w:tcW w:w="5211" w:type="dxa"/>
            <w:shd w:val="clear" w:color="auto" w:fill="F2F2F2" w:themeFill="background1" w:themeFillShade="F2"/>
            <w:vAlign w:val="center"/>
          </w:tcPr>
          <w:p w:rsidR="00133BC5" w:rsidRPr="00920E8A" w:rsidRDefault="00133BC5" w:rsidP="00133BC5">
            <w:pPr>
              <w:spacing w:after="0"/>
              <w:ind w:left="142"/>
              <w:contextualSpacing/>
              <w:rPr>
                <w:rFonts w:ascii="Century" w:hAnsi="Century"/>
                <w:b/>
                <w:bCs/>
                <w:sz w:val="20"/>
                <w:szCs w:val="20"/>
              </w:rPr>
            </w:pPr>
            <w:r w:rsidRPr="00920E8A">
              <w:rPr>
                <w:rFonts w:ascii="Century" w:hAnsi="Century"/>
                <w:bCs/>
                <w:iCs/>
                <w:sz w:val="20"/>
                <w:szCs w:val="20"/>
              </w:rPr>
              <w:t>из федерального бюджета,</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3 345,9</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3 410,5</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3 479,8</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3 373,2</w:t>
            </w:r>
          </w:p>
        </w:tc>
      </w:tr>
      <w:tr w:rsidR="00133BC5" w:rsidRPr="00777CD0" w:rsidTr="006A22F2">
        <w:trPr>
          <w:trHeight w:val="340"/>
        </w:trPr>
        <w:tc>
          <w:tcPr>
            <w:tcW w:w="5211" w:type="dxa"/>
            <w:vAlign w:val="center"/>
          </w:tcPr>
          <w:p w:rsidR="00133BC5" w:rsidRPr="00920E8A" w:rsidRDefault="00133BC5" w:rsidP="00133BC5">
            <w:pPr>
              <w:spacing w:after="0"/>
              <w:ind w:left="142" w:firstLine="318"/>
              <w:contextualSpacing/>
              <w:rPr>
                <w:rFonts w:ascii="Century" w:hAnsi="Century"/>
                <w:b/>
                <w:bCs/>
                <w:sz w:val="20"/>
                <w:szCs w:val="20"/>
                <w:lang w:eastAsia="ru-RU"/>
              </w:rPr>
            </w:pPr>
            <w:r w:rsidRPr="00920E8A">
              <w:rPr>
                <w:rFonts w:ascii="Century" w:hAnsi="Century"/>
                <w:bCs/>
                <w:iCs/>
                <w:sz w:val="20"/>
                <w:szCs w:val="20"/>
              </w:rPr>
              <w:t>в т.ч. трансферт на обязательное пенсионное страхование</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632,4</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1 106,1</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1 096,8</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940,5</w:t>
            </w:r>
          </w:p>
        </w:tc>
      </w:tr>
      <w:tr w:rsidR="00133BC5" w:rsidRPr="00777CD0" w:rsidTr="006A22F2">
        <w:trPr>
          <w:trHeight w:val="340"/>
        </w:trPr>
        <w:tc>
          <w:tcPr>
            <w:tcW w:w="5211" w:type="dxa"/>
            <w:shd w:val="clear" w:color="auto" w:fill="F2F2F2" w:themeFill="background1" w:themeFillShade="F2"/>
            <w:vAlign w:val="center"/>
          </w:tcPr>
          <w:p w:rsidR="00133BC5" w:rsidRPr="00920E8A" w:rsidRDefault="00133BC5" w:rsidP="00133BC5">
            <w:pPr>
              <w:spacing w:after="0"/>
              <w:ind w:left="142" w:firstLine="318"/>
              <w:contextualSpacing/>
              <w:rPr>
                <w:rFonts w:ascii="Century" w:hAnsi="Century"/>
                <w:b/>
                <w:bCs/>
                <w:sz w:val="20"/>
                <w:szCs w:val="20"/>
                <w:lang w:eastAsia="ru-RU"/>
              </w:rPr>
            </w:pPr>
            <w:r w:rsidRPr="00920E8A">
              <w:rPr>
                <w:rFonts w:ascii="Century" w:hAnsi="Century"/>
                <w:bCs/>
                <w:iCs/>
                <w:sz w:val="20"/>
                <w:szCs w:val="20"/>
              </w:rPr>
              <w:t>из бюджетов субъектов</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3,3</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3,2</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3,4</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3,6</w:t>
            </w:r>
          </w:p>
        </w:tc>
      </w:tr>
      <w:tr w:rsidR="00133BC5" w:rsidRPr="00777CD0" w:rsidTr="006A22F2">
        <w:trPr>
          <w:trHeight w:val="340"/>
        </w:trPr>
        <w:tc>
          <w:tcPr>
            <w:tcW w:w="5211" w:type="dxa"/>
            <w:vAlign w:val="center"/>
          </w:tcPr>
          <w:p w:rsidR="00133BC5" w:rsidRPr="00920E8A" w:rsidRDefault="00133BC5" w:rsidP="00133BC5">
            <w:pPr>
              <w:spacing w:after="0"/>
              <w:contextualSpacing/>
              <w:rPr>
                <w:rFonts w:ascii="Century" w:hAnsi="Century"/>
                <w:b/>
                <w:bCs/>
                <w:sz w:val="20"/>
                <w:szCs w:val="20"/>
                <w:lang w:eastAsia="ru-RU"/>
              </w:rPr>
            </w:pPr>
            <w:r w:rsidRPr="00920E8A">
              <w:rPr>
                <w:rFonts w:ascii="Century" w:hAnsi="Century"/>
                <w:bCs/>
                <w:sz w:val="20"/>
                <w:szCs w:val="20"/>
              </w:rPr>
              <w:t>Собственные доходы</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4 886,8</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5 174,0</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5 420,1</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5 790,6</w:t>
            </w:r>
          </w:p>
        </w:tc>
      </w:tr>
      <w:tr w:rsidR="00133BC5" w:rsidRPr="00777CD0" w:rsidTr="006A22F2">
        <w:trPr>
          <w:trHeight w:val="340"/>
        </w:trPr>
        <w:tc>
          <w:tcPr>
            <w:tcW w:w="5211" w:type="dxa"/>
            <w:shd w:val="clear" w:color="auto" w:fill="F2F2F2" w:themeFill="background1" w:themeFillShade="F2"/>
            <w:vAlign w:val="center"/>
          </w:tcPr>
          <w:p w:rsidR="00133BC5" w:rsidRPr="00920E8A" w:rsidRDefault="00133BC5" w:rsidP="00133BC5">
            <w:pPr>
              <w:spacing w:after="0"/>
              <w:contextualSpacing/>
              <w:rPr>
                <w:rFonts w:ascii="Century" w:hAnsi="Century"/>
                <w:b/>
                <w:bCs/>
                <w:sz w:val="20"/>
                <w:szCs w:val="20"/>
                <w:lang w:eastAsia="ru-RU"/>
              </w:rPr>
            </w:pPr>
            <w:r w:rsidRPr="00920E8A">
              <w:rPr>
                <w:rFonts w:ascii="Century" w:hAnsi="Century"/>
                <w:b/>
                <w:bCs/>
                <w:sz w:val="20"/>
                <w:szCs w:val="20"/>
              </w:rPr>
              <w:t>Расходы</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8 236</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8 588</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8 903</w:t>
            </w:r>
          </w:p>
        </w:tc>
        <w:tc>
          <w:tcPr>
            <w:tcW w:w="1019" w:type="dxa"/>
            <w:shd w:val="clear" w:color="auto" w:fill="F2F2F2" w:themeFill="background1" w:themeFillShade="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9 167</w:t>
            </w:r>
          </w:p>
        </w:tc>
      </w:tr>
      <w:tr w:rsidR="00133BC5" w:rsidRPr="00777CD0" w:rsidTr="006A22F2">
        <w:trPr>
          <w:trHeight w:val="340"/>
        </w:trPr>
        <w:tc>
          <w:tcPr>
            <w:tcW w:w="5211" w:type="dxa"/>
            <w:vAlign w:val="center"/>
          </w:tcPr>
          <w:p w:rsidR="00133BC5" w:rsidRPr="00920E8A" w:rsidRDefault="00133BC5" w:rsidP="00133BC5">
            <w:pPr>
              <w:spacing w:after="0"/>
              <w:contextualSpacing/>
              <w:rPr>
                <w:rFonts w:ascii="Century" w:hAnsi="Century"/>
                <w:b/>
                <w:bCs/>
                <w:sz w:val="20"/>
                <w:szCs w:val="20"/>
              </w:rPr>
            </w:pPr>
            <w:r w:rsidRPr="00920E8A">
              <w:rPr>
                <w:rFonts w:ascii="Century" w:hAnsi="Century" w:cs="Calibri"/>
                <w:sz w:val="20"/>
                <w:szCs w:val="20"/>
              </w:rPr>
              <w:t>Расходы без учета межбюджетных трансфертов</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8 236,0</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8 587,7</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8 903,3</w:t>
            </w:r>
          </w:p>
        </w:tc>
        <w:tc>
          <w:tcPr>
            <w:tcW w:w="1019"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9 167,4</w:t>
            </w:r>
          </w:p>
        </w:tc>
      </w:tr>
      <w:tr w:rsidR="00133BC5" w:rsidRPr="00777CD0" w:rsidTr="006A22F2">
        <w:trPr>
          <w:trHeight w:val="340"/>
        </w:trPr>
        <w:tc>
          <w:tcPr>
            <w:tcW w:w="5211" w:type="dxa"/>
            <w:tcBorders>
              <w:top w:val="nil"/>
              <w:left w:val="nil"/>
              <w:bottom w:val="single" w:sz="4" w:space="0" w:color="auto"/>
              <w:right w:val="nil"/>
            </w:tcBorders>
            <w:shd w:val="clear" w:color="auto" w:fill="F2F2F2" w:themeFill="background1" w:themeFillShade="F2"/>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
                <w:bCs/>
                <w:sz w:val="20"/>
                <w:szCs w:val="20"/>
              </w:rPr>
              <w:t>Дефицит/профицит</w:t>
            </w:r>
          </w:p>
        </w:tc>
        <w:tc>
          <w:tcPr>
            <w:tcW w:w="1019" w:type="dxa"/>
            <w:tcBorders>
              <w:top w:val="nil"/>
              <w:left w:val="nil"/>
              <w:bottom w:val="single" w:sz="4" w:space="0" w:color="auto"/>
              <w:right w:val="nil"/>
            </w:tcBorders>
            <w:shd w:val="clear" w:color="auto" w:fill="F2F2F2" w:themeFill="background1" w:themeFillShade="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0,0</w:t>
            </w:r>
          </w:p>
        </w:tc>
        <w:tc>
          <w:tcPr>
            <w:tcW w:w="1019" w:type="dxa"/>
            <w:tcBorders>
              <w:top w:val="nil"/>
              <w:left w:val="nil"/>
              <w:bottom w:val="single" w:sz="4" w:space="0" w:color="auto"/>
              <w:right w:val="nil"/>
            </w:tcBorders>
            <w:shd w:val="clear" w:color="auto" w:fill="F2F2F2" w:themeFill="background1" w:themeFillShade="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0,0</w:t>
            </w:r>
          </w:p>
        </w:tc>
        <w:tc>
          <w:tcPr>
            <w:tcW w:w="1019" w:type="dxa"/>
            <w:tcBorders>
              <w:top w:val="nil"/>
              <w:left w:val="nil"/>
              <w:bottom w:val="single" w:sz="4" w:space="0" w:color="auto"/>
              <w:right w:val="nil"/>
            </w:tcBorders>
            <w:shd w:val="clear" w:color="auto" w:fill="F2F2F2" w:themeFill="background1" w:themeFillShade="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0,0</w:t>
            </w:r>
          </w:p>
        </w:tc>
        <w:tc>
          <w:tcPr>
            <w:tcW w:w="1019" w:type="dxa"/>
            <w:tcBorders>
              <w:top w:val="nil"/>
              <w:left w:val="nil"/>
              <w:bottom w:val="single" w:sz="4" w:space="0" w:color="auto"/>
              <w:right w:val="nil"/>
            </w:tcBorders>
            <w:shd w:val="clear" w:color="auto" w:fill="F2F2F2" w:themeFill="background1" w:themeFillShade="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0,0</w:t>
            </w:r>
          </w:p>
        </w:tc>
      </w:tr>
    </w:tbl>
    <w:p w:rsidR="00133BC5" w:rsidRPr="006A22F2" w:rsidRDefault="00133BC5" w:rsidP="00133BC5">
      <w:pPr>
        <w:spacing w:line="240" w:lineRule="auto"/>
        <w:rPr>
          <w:rFonts w:ascii="Times New Roman" w:hAnsi="Times New Roman"/>
          <w:i/>
          <w:sz w:val="20"/>
          <w:szCs w:val="20"/>
        </w:rPr>
      </w:pPr>
      <w:r w:rsidRPr="006A22F2">
        <w:rPr>
          <w:rFonts w:ascii="Times New Roman" w:hAnsi="Times New Roman"/>
          <w:i/>
          <w:sz w:val="20"/>
          <w:szCs w:val="20"/>
        </w:rPr>
        <w:t>*Без учета накопительной составляющей пенсионной системы</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b/>
          <w:sz w:val="24"/>
          <w:szCs w:val="28"/>
        </w:rPr>
        <w:t>Доходы</w:t>
      </w:r>
      <w:r w:rsidRPr="006A22F2">
        <w:rPr>
          <w:rFonts w:ascii="Times New Roman" w:hAnsi="Times New Roman"/>
          <w:sz w:val="24"/>
          <w:szCs w:val="28"/>
        </w:rPr>
        <w:t xml:space="preserve"> бюджета Пенсионного фонда вырастут в номинальном выражении на 352 млрд. рублей в 2019 году по сравнению с 2018 годом и составят 8 </w:t>
      </w:r>
      <w:r w:rsidR="00E74E58">
        <w:rPr>
          <w:rFonts w:ascii="Times New Roman" w:hAnsi="Times New Roman"/>
          <w:sz w:val="24"/>
          <w:szCs w:val="28"/>
        </w:rPr>
        <w:t>588</w:t>
      </w:r>
      <w:r w:rsidRPr="006A22F2">
        <w:rPr>
          <w:rFonts w:ascii="Times New Roman" w:hAnsi="Times New Roman"/>
          <w:sz w:val="24"/>
          <w:szCs w:val="28"/>
        </w:rPr>
        <w:t xml:space="preserve"> млрд. рублей.</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 xml:space="preserve">Поступление </w:t>
      </w:r>
      <w:r w:rsidRPr="006A22F2">
        <w:rPr>
          <w:rFonts w:ascii="Times New Roman" w:hAnsi="Times New Roman"/>
          <w:i/>
          <w:sz w:val="24"/>
          <w:szCs w:val="28"/>
        </w:rPr>
        <w:t>страховых взносов</w:t>
      </w:r>
      <w:r w:rsidRPr="006A22F2">
        <w:rPr>
          <w:rFonts w:ascii="Times New Roman" w:hAnsi="Times New Roman"/>
          <w:sz w:val="24"/>
          <w:szCs w:val="28"/>
        </w:rPr>
        <w:t xml:space="preserve"> на обязательное пенсионное страхование в 2018-2020 годах определено исходя из тарифа страхового взноса в размере 22% и тарифа 10% с сумм выплат, превышающих предельную величину базы для начисления страховых взносов. </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 xml:space="preserve">При определении </w:t>
      </w:r>
      <w:r w:rsidRPr="006A22F2">
        <w:rPr>
          <w:rFonts w:ascii="Times New Roman" w:hAnsi="Times New Roman"/>
          <w:b/>
          <w:sz w:val="24"/>
          <w:szCs w:val="28"/>
        </w:rPr>
        <w:t>расходов</w:t>
      </w:r>
      <w:r w:rsidRPr="006A22F2">
        <w:rPr>
          <w:rFonts w:ascii="Times New Roman" w:hAnsi="Times New Roman"/>
          <w:sz w:val="24"/>
          <w:szCs w:val="28"/>
        </w:rPr>
        <w:t xml:space="preserve"> бюджета Пенсионного фонда учитываются данные о численности получателей соответствующих пенсий, а также с учетом подходов по индексации страховой пенсии и фиксированной выплаты к ней.</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b/>
          <w:sz w:val="24"/>
          <w:szCs w:val="28"/>
        </w:rPr>
        <w:t>Сбалансированность</w:t>
      </w:r>
      <w:r w:rsidRPr="006A22F2">
        <w:rPr>
          <w:rFonts w:ascii="Times New Roman" w:hAnsi="Times New Roman"/>
          <w:sz w:val="24"/>
          <w:szCs w:val="28"/>
        </w:rPr>
        <w:t xml:space="preserve"> бюджета Пенсионного фонда в части, не связанной с формированием средств для финансирования накопительных пенсий, будет обеспечиваться за счет средств федерального бюджета, передаваемых бюджету Пенсионного фонда в виде межбюджетного трансферта на обязательное пенсионное страхование, который составит в 2019 году 1 106,1 млрд. рублей. Значительный рост трансфертов (+473,7 млрд. рублей или +75%) обусловлен отменой компенсационных выплат</w:t>
      </w:r>
      <w:r w:rsidRPr="006A22F2">
        <w:rPr>
          <w:rFonts w:ascii="Times New Roman" w:hAnsi="Times New Roman"/>
          <w:sz w:val="24"/>
        </w:rPr>
        <w:t xml:space="preserve"> </w:t>
      </w:r>
      <w:r w:rsidRPr="006A22F2">
        <w:rPr>
          <w:rFonts w:ascii="Times New Roman" w:hAnsi="Times New Roman"/>
          <w:sz w:val="24"/>
          <w:szCs w:val="28"/>
        </w:rPr>
        <w:t>для отдельных категорий плательщиков и перераспределением средств на межбюджетные трансферты на обязательное пенсионное страхование.</w:t>
      </w:r>
    </w:p>
    <w:p w:rsidR="00133BC5" w:rsidRPr="006A22F2" w:rsidRDefault="00133BC5" w:rsidP="006A22F2">
      <w:pPr>
        <w:spacing w:after="120"/>
        <w:jc w:val="both"/>
        <w:rPr>
          <w:rFonts w:ascii="Times New Roman" w:hAnsi="Times New Roman"/>
          <w:b/>
          <w:sz w:val="24"/>
          <w:szCs w:val="28"/>
        </w:rPr>
      </w:pPr>
      <w:r w:rsidRPr="006A22F2">
        <w:rPr>
          <w:rFonts w:ascii="Times New Roman" w:hAnsi="Times New Roman"/>
          <w:b/>
          <w:sz w:val="32"/>
          <w:szCs w:val="28"/>
        </w:rPr>
        <w:t>Фонд социального страхования Российской Федерации</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b/>
          <w:sz w:val="24"/>
          <w:szCs w:val="28"/>
        </w:rPr>
        <w:t>Таблица 4.3.2</w:t>
      </w:r>
      <w:r w:rsidRPr="006A22F2">
        <w:rPr>
          <w:rFonts w:ascii="Times New Roman" w:hAnsi="Times New Roman"/>
          <w:b/>
          <w:sz w:val="24"/>
        </w:rPr>
        <w:t>.</w:t>
      </w:r>
      <w:r w:rsidRPr="006A22F2">
        <w:rPr>
          <w:rFonts w:ascii="Times New Roman" w:hAnsi="Times New Roman"/>
          <w:sz w:val="24"/>
          <w:szCs w:val="28"/>
        </w:rPr>
        <w:t xml:space="preserve"> Основные характеристики бюджета Фонда социального страхования в 2018-2021 гг.</w:t>
      </w:r>
    </w:p>
    <w:p w:rsidR="00133BC5" w:rsidRPr="006A22F2" w:rsidRDefault="00133BC5" w:rsidP="00133BC5">
      <w:pPr>
        <w:spacing w:after="0"/>
        <w:jc w:val="right"/>
        <w:rPr>
          <w:rFonts w:ascii="Times New Roman" w:hAnsi="Times New Roman"/>
          <w:i/>
          <w:szCs w:val="28"/>
        </w:rPr>
      </w:pPr>
      <w:r w:rsidRPr="006A22F2">
        <w:rPr>
          <w:rFonts w:ascii="Times New Roman" w:hAnsi="Times New Roman"/>
          <w:i/>
          <w:szCs w:val="28"/>
        </w:rPr>
        <w:t>млрд  рублей</w:t>
      </w:r>
    </w:p>
    <w:tbl>
      <w:tblPr>
        <w:tblW w:w="9287" w:type="dxa"/>
        <w:tblLayout w:type="fixed"/>
        <w:tblLook w:val="00A0" w:firstRow="1" w:lastRow="0" w:firstColumn="1" w:lastColumn="0" w:noHBand="0" w:noVBand="0"/>
      </w:tblPr>
      <w:tblGrid>
        <w:gridCol w:w="5211"/>
        <w:gridCol w:w="1019"/>
        <w:gridCol w:w="1019"/>
        <w:gridCol w:w="1019"/>
        <w:gridCol w:w="1019"/>
      </w:tblGrid>
      <w:tr w:rsidR="00133BC5" w:rsidRPr="00920E8A" w:rsidTr="006A22F2">
        <w:trPr>
          <w:trHeight w:val="340"/>
        </w:trPr>
        <w:tc>
          <w:tcPr>
            <w:tcW w:w="5211" w:type="dxa"/>
            <w:tcBorders>
              <w:top w:val="nil"/>
              <w:left w:val="nil"/>
              <w:bottom w:val="single" w:sz="4" w:space="0" w:color="auto"/>
              <w:right w:val="nil"/>
            </w:tcBorders>
          </w:tcPr>
          <w:p w:rsidR="00133BC5" w:rsidRPr="00920E8A" w:rsidRDefault="00133BC5" w:rsidP="00133BC5">
            <w:pPr>
              <w:spacing w:after="0"/>
              <w:contextualSpacing/>
              <w:rPr>
                <w:rFonts w:ascii="Century" w:hAnsi="Century"/>
                <w:b/>
                <w:bCs/>
                <w:szCs w:val="20"/>
              </w:rPr>
            </w:pPr>
            <w:r w:rsidRPr="00920E8A">
              <w:rPr>
                <w:rFonts w:ascii="Century" w:hAnsi="Century"/>
                <w:b/>
                <w:bCs/>
                <w:szCs w:val="20"/>
              </w:rPr>
              <w:t>Показатель</w:t>
            </w:r>
          </w:p>
        </w:tc>
        <w:tc>
          <w:tcPr>
            <w:tcW w:w="1019" w:type="dxa"/>
            <w:tcBorders>
              <w:top w:val="nil"/>
              <w:left w:val="nil"/>
              <w:bottom w:val="single" w:sz="4" w:space="0" w:color="auto"/>
              <w:right w:val="nil"/>
            </w:tcBorders>
          </w:tcPr>
          <w:p w:rsidR="00133BC5" w:rsidRPr="00920E8A" w:rsidRDefault="00133BC5" w:rsidP="00133BC5">
            <w:pPr>
              <w:spacing w:after="0"/>
              <w:contextualSpacing/>
              <w:jc w:val="center"/>
              <w:rPr>
                <w:rFonts w:ascii="Century" w:hAnsi="Century"/>
                <w:b/>
                <w:bCs/>
                <w:szCs w:val="20"/>
              </w:rPr>
            </w:pPr>
            <w:r w:rsidRPr="00920E8A">
              <w:rPr>
                <w:rFonts w:ascii="Century" w:hAnsi="Century"/>
                <w:b/>
                <w:bCs/>
                <w:szCs w:val="20"/>
              </w:rPr>
              <w:t>2018</w:t>
            </w:r>
          </w:p>
        </w:tc>
        <w:tc>
          <w:tcPr>
            <w:tcW w:w="1019" w:type="dxa"/>
            <w:tcBorders>
              <w:top w:val="nil"/>
              <w:left w:val="nil"/>
              <w:bottom w:val="single" w:sz="4" w:space="0" w:color="auto"/>
              <w:right w:val="nil"/>
            </w:tcBorders>
          </w:tcPr>
          <w:p w:rsidR="00133BC5" w:rsidRPr="00920E8A" w:rsidRDefault="00133BC5" w:rsidP="00133BC5">
            <w:pPr>
              <w:spacing w:after="0"/>
              <w:contextualSpacing/>
              <w:jc w:val="center"/>
              <w:rPr>
                <w:rFonts w:ascii="Century" w:hAnsi="Century"/>
                <w:b/>
                <w:bCs/>
                <w:szCs w:val="20"/>
              </w:rPr>
            </w:pPr>
            <w:r w:rsidRPr="00920E8A">
              <w:rPr>
                <w:rFonts w:ascii="Century" w:hAnsi="Century"/>
                <w:b/>
                <w:bCs/>
                <w:szCs w:val="20"/>
              </w:rPr>
              <w:t>2019</w:t>
            </w:r>
          </w:p>
        </w:tc>
        <w:tc>
          <w:tcPr>
            <w:tcW w:w="1019" w:type="dxa"/>
            <w:tcBorders>
              <w:top w:val="nil"/>
              <w:left w:val="nil"/>
              <w:bottom w:val="single" w:sz="4" w:space="0" w:color="auto"/>
              <w:right w:val="nil"/>
            </w:tcBorders>
          </w:tcPr>
          <w:p w:rsidR="00133BC5" w:rsidRPr="00920E8A" w:rsidRDefault="00133BC5" w:rsidP="00133BC5">
            <w:pPr>
              <w:spacing w:after="0"/>
              <w:contextualSpacing/>
              <w:jc w:val="center"/>
              <w:rPr>
                <w:rFonts w:ascii="Century" w:hAnsi="Century"/>
                <w:b/>
                <w:bCs/>
                <w:szCs w:val="20"/>
              </w:rPr>
            </w:pPr>
            <w:r w:rsidRPr="00920E8A">
              <w:rPr>
                <w:rFonts w:ascii="Century" w:hAnsi="Century"/>
                <w:b/>
                <w:bCs/>
                <w:szCs w:val="20"/>
              </w:rPr>
              <w:t>2020</w:t>
            </w:r>
          </w:p>
        </w:tc>
        <w:tc>
          <w:tcPr>
            <w:tcW w:w="1019" w:type="dxa"/>
            <w:tcBorders>
              <w:top w:val="nil"/>
              <w:left w:val="nil"/>
              <w:bottom w:val="single" w:sz="4" w:space="0" w:color="auto"/>
              <w:right w:val="nil"/>
            </w:tcBorders>
          </w:tcPr>
          <w:p w:rsidR="00133BC5" w:rsidRPr="00920E8A" w:rsidRDefault="00133BC5" w:rsidP="00133BC5">
            <w:pPr>
              <w:spacing w:after="0"/>
              <w:contextualSpacing/>
              <w:jc w:val="center"/>
              <w:rPr>
                <w:rFonts w:ascii="Century" w:hAnsi="Century"/>
                <w:b/>
                <w:bCs/>
                <w:szCs w:val="20"/>
              </w:rPr>
            </w:pPr>
            <w:r w:rsidRPr="00920E8A">
              <w:rPr>
                <w:rFonts w:ascii="Century" w:hAnsi="Century"/>
                <w:b/>
                <w:bCs/>
                <w:szCs w:val="20"/>
              </w:rPr>
              <w:t>2021</w:t>
            </w:r>
          </w:p>
        </w:tc>
      </w:tr>
      <w:tr w:rsidR="00133BC5" w:rsidRPr="00920E8A" w:rsidTr="006A22F2">
        <w:trPr>
          <w:trHeight w:val="340"/>
        </w:trPr>
        <w:tc>
          <w:tcPr>
            <w:tcW w:w="5211" w:type="dxa"/>
            <w:shd w:val="clear" w:color="auto" w:fill="F2F2F2"/>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
                <w:bCs/>
                <w:sz w:val="20"/>
                <w:szCs w:val="20"/>
              </w:rPr>
              <w:t>Доходы</w:t>
            </w:r>
          </w:p>
        </w:tc>
        <w:tc>
          <w:tcPr>
            <w:tcW w:w="1019" w:type="dxa"/>
            <w:shd w:val="clear" w:color="auto" w:fill="F2F2F2"/>
            <w:vAlign w:val="center"/>
          </w:tcPr>
          <w:p w:rsidR="00133BC5" w:rsidRPr="003A008A" w:rsidRDefault="00133BC5" w:rsidP="00133BC5">
            <w:pPr>
              <w:spacing w:after="0"/>
              <w:contextualSpacing/>
              <w:jc w:val="right"/>
              <w:rPr>
                <w:rFonts w:ascii="Century" w:hAnsi="Century"/>
                <w:b/>
                <w:bCs/>
                <w:sz w:val="20"/>
                <w:szCs w:val="20"/>
              </w:rPr>
            </w:pPr>
            <w:r>
              <w:rPr>
                <w:rFonts w:ascii="Century" w:hAnsi="Century"/>
                <w:b/>
                <w:bCs/>
                <w:sz w:val="20"/>
                <w:szCs w:val="20"/>
              </w:rPr>
              <w:t>709</w:t>
            </w:r>
          </w:p>
        </w:tc>
        <w:tc>
          <w:tcPr>
            <w:tcW w:w="1019" w:type="dxa"/>
            <w:shd w:val="clear" w:color="auto" w:fill="F2F2F2"/>
            <w:vAlign w:val="center"/>
          </w:tcPr>
          <w:p w:rsidR="00133BC5" w:rsidRPr="003A008A" w:rsidRDefault="00133BC5" w:rsidP="00133BC5">
            <w:pPr>
              <w:spacing w:after="0"/>
              <w:contextualSpacing/>
              <w:jc w:val="right"/>
              <w:rPr>
                <w:rFonts w:ascii="Century" w:hAnsi="Century"/>
                <w:b/>
                <w:bCs/>
                <w:sz w:val="20"/>
                <w:szCs w:val="20"/>
              </w:rPr>
            </w:pPr>
            <w:r>
              <w:rPr>
                <w:rFonts w:ascii="Century" w:hAnsi="Century"/>
                <w:b/>
                <w:bCs/>
                <w:sz w:val="20"/>
                <w:szCs w:val="20"/>
              </w:rPr>
              <w:t>738</w:t>
            </w:r>
          </w:p>
        </w:tc>
        <w:tc>
          <w:tcPr>
            <w:tcW w:w="1019" w:type="dxa"/>
            <w:shd w:val="clear" w:color="auto" w:fill="F2F2F2"/>
            <w:vAlign w:val="center"/>
          </w:tcPr>
          <w:p w:rsidR="00133BC5" w:rsidRPr="003A008A" w:rsidRDefault="00133BC5" w:rsidP="00133BC5">
            <w:pPr>
              <w:spacing w:after="0"/>
              <w:contextualSpacing/>
              <w:jc w:val="right"/>
              <w:rPr>
                <w:rFonts w:ascii="Century" w:hAnsi="Century"/>
                <w:b/>
                <w:bCs/>
                <w:sz w:val="20"/>
                <w:szCs w:val="20"/>
              </w:rPr>
            </w:pPr>
            <w:r>
              <w:rPr>
                <w:rFonts w:ascii="Century" w:hAnsi="Century"/>
                <w:b/>
                <w:bCs/>
                <w:sz w:val="20"/>
                <w:szCs w:val="20"/>
              </w:rPr>
              <w:t>764</w:t>
            </w:r>
          </w:p>
        </w:tc>
        <w:tc>
          <w:tcPr>
            <w:tcW w:w="1019" w:type="dxa"/>
            <w:shd w:val="clear" w:color="auto" w:fill="F2F2F2"/>
            <w:vAlign w:val="center"/>
          </w:tcPr>
          <w:p w:rsidR="00133BC5" w:rsidRPr="003A008A" w:rsidRDefault="00133BC5" w:rsidP="00133BC5">
            <w:pPr>
              <w:spacing w:after="0"/>
              <w:contextualSpacing/>
              <w:jc w:val="right"/>
              <w:rPr>
                <w:rFonts w:ascii="Century" w:hAnsi="Century"/>
                <w:b/>
                <w:bCs/>
                <w:sz w:val="20"/>
                <w:szCs w:val="20"/>
              </w:rPr>
            </w:pPr>
            <w:r>
              <w:rPr>
                <w:rFonts w:ascii="Century" w:hAnsi="Century"/>
                <w:b/>
                <w:bCs/>
                <w:sz w:val="20"/>
                <w:szCs w:val="20"/>
              </w:rPr>
              <w:t>772</w:t>
            </w:r>
          </w:p>
        </w:tc>
      </w:tr>
      <w:tr w:rsidR="00133BC5" w:rsidRPr="00920E8A" w:rsidTr="006A22F2">
        <w:trPr>
          <w:trHeight w:val="340"/>
        </w:trPr>
        <w:tc>
          <w:tcPr>
            <w:tcW w:w="5211" w:type="dxa"/>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i/>
                <w:sz w:val="20"/>
                <w:szCs w:val="20"/>
              </w:rPr>
              <w:t>Межбюджетные трансферты</w:t>
            </w:r>
          </w:p>
        </w:tc>
        <w:tc>
          <w:tcPr>
            <w:tcW w:w="1019" w:type="dxa"/>
            <w:vAlign w:val="center"/>
          </w:tcPr>
          <w:p w:rsidR="00133BC5" w:rsidRPr="003A008A" w:rsidRDefault="00133BC5" w:rsidP="00133BC5">
            <w:pPr>
              <w:spacing w:after="0"/>
              <w:contextualSpacing/>
              <w:jc w:val="right"/>
              <w:rPr>
                <w:rFonts w:ascii="Century" w:hAnsi="Century"/>
                <w:sz w:val="20"/>
                <w:szCs w:val="20"/>
              </w:rPr>
            </w:pPr>
            <w:r w:rsidRPr="003A008A">
              <w:rPr>
                <w:rFonts w:ascii="Century" w:hAnsi="Century"/>
                <w:sz w:val="20"/>
                <w:szCs w:val="20"/>
              </w:rPr>
              <w:t>64,6</w:t>
            </w:r>
          </w:p>
        </w:tc>
        <w:tc>
          <w:tcPr>
            <w:tcW w:w="1019" w:type="dxa"/>
            <w:vAlign w:val="center"/>
          </w:tcPr>
          <w:p w:rsidR="00133BC5" w:rsidRPr="003A008A" w:rsidRDefault="00133BC5" w:rsidP="00133BC5">
            <w:pPr>
              <w:spacing w:after="0"/>
              <w:contextualSpacing/>
              <w:jc w:val="right"/>
              <w:rPr>
                <w:rFonts w:ascii="Century" w:hAnsi="Century"/>
                <w:sz w:val="20"/>
                <w:szCs w:val="20"/>
              </w:rPr>
            </w:pPr>
            <w:r w:rsidRPr="003A008A">
              <w:rPr>
                <w:rFonts w:ascii="Century" w:hAnsi="Century"/>
                <w:sz w:val="20"/>
                <w:szCs w:val="20"/>
              </w:rPr>
              <w:t>49,3</w:t>
            </w:r>
          </w:p>
        </w:tc>
        <w:tc>
          <w:tcPr>
            <w:tcW w:w="1019" w:type="dxa"/>
            <w:vAlign w:val="center"/>
          </w:tcPr>
          <w:p w:rsidR="00133BC5" w:rsidRPr="003A008A" w:rsidRDefault="00133BC5" w:rsidP="00133BC5">
            <w:pPr>
              <w:spacing w:after="0"/>
              <w:contextualSpacing/>
              <w:jc w:val="right"/>
              <w:rPr>
                <w:rFonts w:ascii="Century" w:hAnsi="Century"/>
                <w:sz w:val="20"/>
                <w:szCs w:val="20"/>
              </w:rPr>
            </w:pPr>
            <w:r w:rsidRPr="003A008A">
              <w:rPr>
                <w:rFonts w:ascii="Century" w:hAnsi="Century"/>
                <w:sz w:val="20"/>
                <w:szCs w:val="20"/>
              </w:rPr>
              <w:t>49,6</w:t>
            </w:r>
          </w:p>
        </w:tc>
        <w:tc>
          <w:tcPr>
            <w:tcW w:w="1019" w:type="dxa"/>
            <w:vAlign w:val="center"/>
          </w:tcPr>
          <w:p w:rsidR="00133BC5" w:rsidRPr="003A008A" w:rsidRDefault="00133BC5" w:rsidP="00133BC5">
            <w:pPr>
              <w:spacing w:after="0"/>
              <w:contextualSpacing/>
              <w:jc w:val="right"/>
              <w:rPr>
                <w:rFonts w:ascii="Century" w:hAnsi="Century"/>
                <w:sz w:val="20"/>
                <w:szCs w:val="20"/>
              </w:rPr>
            </w:pPr>
            <w:r w:rsidRPr="003A008A">
              <w:rPr>
                <w:rFonts w:ascii="Century" w:hAnsi="Century"/>
                <w:sz w:val="20"/>
                <w:szCs w:val="20"/>
              </w:rPr>
              <w:t>49,8</w:t>
            </w:r>
          </w:p>
        </w:tc>
      </w:tr>
      <w:tr w:rsidR="00133BC5" w:rsidRPr="00920E8A" w:rsidTr="006A22F2">
        <w:trPr>
          <w:trHeight w:val="340"/>
        </w:trPr>
        <w:tc>
          <w:tcPr>
            <w:tcW w:w="5211" w:type="dxa"/>
            <w:shd w:val="clear" w:color="auto" w:fill="F2F2F2"/>
            <w:vAlign w:val="center"/>
          </w:tcPr>
          <w:p w:rsidR="00133BC5" w:rsidRPr="00920E8A" w:rsidRDefault="00133BC5" w:rsidP="00133BC5">
            <w:pPr>
              <w:spacing w:after="0"/>
              <w:ind w:firstLine="318"/>
              <w:contextualSpacing/>
              <w:rPr>
                <w:rFonts w:ascii="Century" w:hAnsi="Century"/>
                <w:b/>
                <w:bCs/>
                <w:i/>
                <w:sz w:val="20"/>
                <w:szCs w:val="20"/>
                <w:lang w:eastAsia="ru-RU"/>
              </w:rPr>
            </w:pPr>
            <w:r w:rsidRPr="00920E8A">
              <w:rPr>
                <w:rFonts w:ascii="Century" w:hAnsi="Century"/>
                <w:bCs/>
                <w:i/>
                <w:iCs/>
                <w:sz w:val="20"/>
                <w:szCs w:val="20"/>
              </w:rPr>
              <w:t>из ФОМС</w:t>
            </w:r>
          </w:p>
        </w:tc>
        <w:tc>
          <w:tcPr>
            <w:tcW w:w="1019" w:type="dxa"/>
            <w:shd w:val="clear" w:color="auto" w:fill="F2F2F2"/>
            <w:vAlign w:val="center"/>
          </w:tcPr>
          <w:p w:rsidR="00133BC5" w:rsidRPr="003A008A" w:rsidRDefault="00133BC5" w:rsidP="00133BC5">
            <w:pPr>
              <w:spacing w:after="0"/>
              <w:contextualSpacing/>
              <w:jc w:val="right"/>
              <w:rPr>
                <w:rFonts w:ascii="Century" w:hAnsi="Century"/>
                <w:sz w:val="20"/>
                <w:szCs w:val="20"/>
              </w:rPr>
            </w:pPr>
            <w:r w:rsidRPr="003A008A">
              <w:rPr>
                <w:rFonts w:ascii="Century" w:hAnsi="Century"/>
                <w:sz w:val="20"/>
                <w:szCs w:val="20"/>
              </w:rPr>
              <w:t>18,3</w:t>
            </w:r>
          </w:p>
        </w:tc>
        <w:tc>
          <w:tcPr>
            <w:tcW w:w="1019" w:type="dxa"/>
            <w:shd w:val="clear" w:color="auto" w:fill="F2F2F2"/>
            <w:vAlign w:val="center"/>
          </w:tcPr>
          <w:p w:rsidR="00133BC5" w:rsidRPr="003A008A" w:rsidRDefault="00133BC5" w:rsidP="00133BC5">
            <w:pPr>
              <w:spacing w:after="0"/>
              <w:contextualSpacing/>
              <w:jc w:val="right"/>
              <w:rPr>
                <w:rFonts w:ascii="Century" w:hAnsi="Century"/>
                <w:sz w:val="20"/>
                <w:szCs w:val="20"/>
              </w:rPr>
            </w:pPr>
            <w:r w:rsidRPr="003A008A">
              <w:rPr>
                <w:rFonts w:ascii="Century" w:hAnsi="Century"/>
                <w:sz w:val="20"/>
                <w:szCs w:val="20"/>
              </w:rPr>
              <w:t>15,9</w:t>
            </w:r>
          </w:p>
        </w:tc>
        <w:tc>
          <w:tcPr>
            <w:tcW w:w="1019" w:type="dxa"/>
            <w:shd w:val="clear" w:color="auto" w:fill="F2F2F2"/>
            <w:vAlign w:val="center"/>
          </w:tcPr>
          <w:p w:rsidR="00133BC5" w:rsidRPr="003A008A" w:rsidRDefault="00133BC5" w:rsidP="00133BC5">
            <w:pPr>
              <w:spacing w:after="0"/>
              <w:contextualSpacing/>
              <w:jc w:val="right"/>
              <w:rPr>
                <w:rFonts w:ascii="Century" w:hAnsi="Century"/>
                <w:sz w:val="20"/>
                <w:szCs w:val="20"/>
              </w:rPr>
            </w:pPr>
            <w:r w:rsidRPr="003A008A">
              <w:rPr>
                <w:rFonts w:ascii="Century" w:hAnsi="Century"/>
                <w:sz w:val="20"/>
                <w:szCs w:val="20"/>
              </w:rPr>
              <w:t>15,9</w:t>
            </w:r>
          </w:p>
        </w:tc>
        <w:tc>
          <w:tcPr>
            <w:tcW w:w="1019" w:type="dxa"/>
            <w:shd w:val="clear" w:color="auto" w:fill="F2F2F2"/>
            <w:vAlign w:val="center"/>
          </w:tcPr>
          <w:p w:rsidR="00133BC5" w:rsidRPr="003A008A" w:rsidRDefault="00133BC5" w:rsidP="00133BC5">
            <w:pPr>
              <w:spacing w:after="0"/>
              <w:contextualSpacing/>
              <w:jc w:val="right"/>
              <w:rPr>
                <w:rFonts w:ascii="Century" w:hAnsi="Century"/>
                <w:sz w:val="20"/>
                <w:szCs w:val="20"/>
              </w:rPr>
            </w:pPr>
            <w:r w:rsidRPr="003A008A">
              <w:rPr>
                <w:rFonts w:ascii="Century" w:hAnsi="Century"/>
                <w:sz w:val="20"/>
                <w:szCs w:val="20"/>
              </w:rPr>
              <w:t>15,6</w:t>
            </w:r>
          </w:p>
        </w:tc>
      </w:tr>
      <w:tr w:rsidR="00133BC5" w:rsidRPr="00920E8A" w:rsidTr="006A22F2">
        <w:trPr>
          <w:trHeight w:val="340"/>
        </w:trPr>
        <w:tc>
          <w:tcPr>
            <w:tcW w:w="5211" w:type="dxa"/>
            <w:vAlign w:val="center"/>
          </w:tcPr>
          <w:p w:rsidR="00133BC5" w:rsidRPr="00920E8A" w:rsidRDefault="00133BC5" w:rsidP="00133BC5">
            <w:pPr>
              <w:spacing w:after="0"/>
              <w:ind w:firstLine="318"/>
              <w:contextualSpacing/>
              <w:rPr>
                <w:rFonts w:ascii="Century" w:hAnsi="Century"/>
                <w:b/>
                <w:bCs/>
                <w:i/>
                <w:sz w:val="20"/>
                <w:szCs w:val="20"/>
                <w:lang w:eastAsia="ru-RU"/>
              </w:rPr>
            </w:pPr>
            <w:r w:rsidRPr="00920E8A">
              <w:rPr>
                <w:rFonts w:ascii="Century" w:hAnsi="Century"/>
                <w:bCs/>
                <w:i/>
                <w:iCs/>
                <w:sz w:val="20"/>
                <w:szCs w:val="20"/>
              </w:rPr>
              <w:t>из федерального бюджета</w:t>
            </w:r>
          </w:p>
        </w:tc>
        <w:tc>
          <w:tcPr>
            <w:tcW w:w="1019" w:type="dxa"/>
            <w:vAlign w:val="center"/>
          </w:tcPr>
          <w:p w:rsidR="00133BC5" w:rsidRPr="003A008A" w:rsidRDefault="00133BC5" w:rsidP="00133BC5">
            <w:pPr>
              <w:spacing w:after="0"/>
              <w:contextualSpacing/>
              <w:jc w:val="right"/>
              <w:rPr>
                <w:rFonts w:ascii="Century" w:hAnsi="Century"/>
                <w:sz w:val="20"/>
                <w:szCs w:val="20"/>
              </w:rPr>
            </w:pPr>
            <w:r>
              <w:rPr>
                <w:rFonts w:ascii="Century" w:hAnsi="Century"/>
                <w:sz w:val="20"/>
                <w:szCs w:val="20"/>
              </w:rPr>
              <w:t>46,3</w:t>
            </w:r>
          </w:p>
        </w:tc>
        <w:tc>
          <w:tcPr>
            <w:tcW w:w="1019" w:type="dxa"/>
            <w:vAlign w:val="center"/>
          </w:tcPr>
          <w:p w:rsidR="00133BC5" w:rsidRPr="003A008A" w:rsidRDefault="00133BC5" w:rsidP="00133BC5">
            <w:pPr>
              <w:spacing w:after="0"/>
              <w:contextualSpacing/>
              <w:jc w:val="right"/>
              <w:rPr>
                <w:rFonts w:ascii="Century" w:hAnsi="Century"/>
                <w:sz w:val="20"/>
                <w:szCs w:val="20"/>
              </w:rPr>
            </w:pPr>
            <w:r w:rsidRPr="003A008A">
              <w:rPr>
                <w:rFonts w:ascii="Century" w:hAnsi="Century"/>
                <w:sz w:val="20"/>
                <w:szCs w:val="20"/>
              </w:rPr>
              <w:t>33,4</w:t>
            </w:r>
          </w:p>
        </w:tc>
        <w:tc>
          <w:tcPr>
            <w:tcW w:w="1019" w:type="dxa"/>
            <w:vAlign w:val="center"/>
          </w:tcPr>
          <w:p w:rsidR="00133BC5" w:rsidRPr="003A008A" w:rsidRDefault="00133BC5" w:rsidP="00133BC5">
            <w:pPr>
              <w:spacing w:after="0"/>
              <w:contextualSpacing/>
              <w:jc w:val="right"/>
              <w:rPr>
                <w:rFonts w:ascii="Century" w:hAnsi="Century"/>
                <w:sz w:val="20"/>
                <w:szCs w:val="20"/>
              </w:rPr>
            </w:pPr>
            <w:r w:rsidRPr="003A008A">
              <w:rPr>
                <w:rFonts w:ascii="Century" w:hAnsi="Century"/>
                <w:sz w:val="20"/>
                <w:szCs w:val="20"/>
              </w:rPr>
              <w:t>33,7</w:t>
            </w:r>
          </w:p>
        </w:tc>
        <w:tc>
          <w:tcPr>
            <w:tcW w:w="1019" w:type="dxa"/>
            <w:vAlign w:val="center"/>
          </w:tcPr>
          <w:p w:rsidR="00133BC5" w:rsidRPr="003A008A" w:rsidRDefault="00133BC5" w:rsidP="00133BC5">
            <w:pPr>
              <w:spacing w:after="0"/>
              <w:contextualSpacing/>
              <w:jc w:val="right"/>
              <w:rPr>
                <w:rFonts w:ascii="Century" w:hAnsi="Century"/>
                <w:sz w:val="20"/>
                <w:szCs w:val="20"/>
              </w:rPr>
            </w:pPr>
            <w:r w:rsidRPr="003A008A">
              <w:rPr>
                <w:rFonts w:ascii="Century" w:hAnsi="Century"/>
                <w:sz w:val="20"/>
                <w:szCs w:val="20"/>
              </w:rPr>
              <w:t>34,2</w:t>
            </w:r>
          </w:p>
        </w:tc>
      </w:tr>
      <w:tr w:rsidR="00133BC5" w:rsidRPr="00920E8A" w:rsidTr="006A22F2">
        <w:trPr>
          <w:trHeight w:val="340"/>
        </w:trPr>
        <w:tc>
          <w:tcPr>
            <w:tcW w:w="5211" w:type="dxa"/>
            <w:shd w:val="clear" w:color="auto" w:fill="F2F2F2"/>
            <w:vAlign w:val="center"/>
          </w:tcPr>
          <w:p w:rsidR="00133BC5" w:rsidRPr="00920E8A" w:rsidRDefault="00133BC5" w:rsidP="00133BC5">
            <w:pPr>
              <w:spacing w:after="0"/>
              <w:contextualSpacing/>
              <w:rPr>
                <w:rFonts w:ascii="Century" w:hAnsi="Century"/>
                <w:b/>
                <w:bCs/>
                <w:i/>
                <w:sz w:val="20"/>
                <w:szCs w:val="20"/>
                <w:lang w:eastAsia="ru-RU"/>
              </w:rPr>
            </w:pPr>
            <w:r w:rsidRPr="00920E8A">
              <w:rPr>
                <w:rFonts w:ascii="Century" w:hAnsi="Century"/>
                <w:bCs/>
                <w:i/>
                <w:sz w:val="20"/>
                <w:szCs w:val="20"/>
              </w:rPr>
              <w:lastRenderedPageBreak/>
              <w:t>Собственные доходы</w:t>
            </w:r>
          </w:p>
        </w:tc>
        <w:tc>
          <w:tcPr>
            <w:tcW w:w="1019"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644,3</w:t>
            </w:r>
          </w:p>
        </w:tc>
        <w:tc>
          <w:tcPr>
            <w:tcW w:w="1019"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688,6</w:t>
            </w:r>
          </w:p>
        </w:tc>
        <w:tc>
          <w:tcPr>
            <w:tcW w:w="1019"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714,7</w:t>
            </w:r>
          </w:p>
        </w:tc>
        <w:tc>
          <w:tcPr>
            <w:tcW w:w="1019"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722,6</w:t>
            </w:r>
          </w:p>
        </w:tc>
      </w:tr>
      <w:tr w:rsidR="00133BC5" w:rsidRPr="00920E8A" w:rsidTr="006A22F2">
        <w:trPr>
          <w:trHeight w:val="340"/>
        </w:trPr>
        <w:tc>
          <w:tcPr>
            <w:tcW w:w="5211" w:type="dxa"/>
            <w:vAlign w:val="center"/>
          </w:tcPr>
          <w:p w:rsidR="00133BC5" w:rsidRPr="00920E8A" w:rsidRDefault="00133BC5" w:rsidP="00133BC5">
            <w:pPr>
              <w:spacing w:after="0"/>
              <w:contextualSpacing/>
              <w:rPr>
                <w:rFonts w:ascii="Century" w:hAnsi="Century"/>
                <w:b/>
                <w:bCs/>
                <w:sz w:val="20"/>
                <w:szCs w:val="20"/>
                <w:lang w:eastAsia="ru-RU"/>
              </w:rPr>
            </w:pPr>
            <w:r w:rsidRPr="00920E8A">
              <w:rPr>
                <w:rFonts w:ascii="Century" w:hAnsi="Century"/>
                <w:b/>
                <w:bCs/>
                <w:sz w:val="20"/>
                <w:szCs w:val="20"/>
              </w:rPr>
              <w:t>Расходы</w:t>
            </w:r>
          </w:p>
        </w:tc>
        <w:tc>
          <w:tcPr>
            <w:tcW w:w="1019" w:type="dxa"/>
            <w:vAlign w:val="center"/>
          </w:tcPr>
          <w:p w:rsidR="00133BC5" w:rsidRPr="003A008A" w:rsidRDefault="00133BC5" w:rsidP="00133BC5">
            <w:pPr>
              <w:spacing w:after="0"/>
              <w:contextualSpacing/>
              <w:jc w:val="right"/>
              <w:rPr>
                <w:rFonts w:ascii="Century" w:hAnsi="Century"/>
                <w:b/>
                <w:bCs/>
                <w:sz w:val="20"/>
                <w:szCs w:val="20"/>
              </w:rPr>
            </w:pPr>
            <w:r>
              <w:rPr>
                <w:rFonts w:ascii="Century" w:hAnsi="Century"/>
                <w:b/>
                <w:bCs/>
                <w:sz w:val="20"/>
                <w:szCs w:val="20"/>
              </w:rPr>
              <w:t>737</w:t>
            </w:r>
          </w:p>
        </w:tc>
        <w:tc>
          <w:tcPr>
            <w:tcW w:w="1019" w:type="dxa"/>
            <w:vAlign w:val="center"/>
          </w:tcPr>
          <w:p w:rsidR="00133BC5" w:rsidRPr="003A008A" w:rsidRDefault="00133BC5" w:rsidP="00133BC5">
            <w:pPr>
              <w:spacing w:after="0"/>
              <w:contextualSpacing/>
              <w:jc w:val="right"/>
              <w:rPr>
                <w:rFonts w:ascii="Century" w:hAnsi="Century"/>
                <w:b/>
                <w:bCs/>
                <w:sz w:val="20"/>
                <w:szCs w:val="20"/>
              </w:rPr>
            </w:pPr>
            <w:r>
              <w:rPr>
                <w:rFonts w:ascii="Century" w:hAnsi="Century"/>
                <w:b/>
                <w:bCs/>
                <w:sz w:val="20"/>
                <w:szCs w:val="20"/>
              </w:rPr>
              <w:t>734</w:t>
            </w:r>
          </w:p>
        </w:tc>
        <w:tc>
          <w:tcPr>
            <w:tcW w:w="1019" w:type="dxa"/>
            <w:vAlign w:val="center"/>
          </w:tcPr>
          <w:p w:rsidR="00133BC5" w:rsidRPr="003A008A" w:rsidRDefault="00133BC5" w:rsidP="00133BC5">
            <w:pPr>
              <w:spacing w:after="0"/>
              <w:contextualSpacing/>
              <w:jc w:val="right"/>
              <w:rPr>
                <w:rFonts w:ascii="Century" w:hAnsi="Century"/>
                <w:b/>
                <w:bCs/>
                <w:sz w:val="20"/>
                <w:szCs w:val="20"/>
              </w:rPr>
            </w:pPr>
            <w:r>
              <w:rPr>
                <w:rFonts w:ascii="Century" w:hAnsi="Century"/>
                <w:b/>
                <w:bCs/>
                <w:sz w:val="20"/>
                <w:szCs w:val="20"/>
              </w:rPr>
              <w:t>767</w:t>
            </w:r>
          </w:p>
        </w:tc>
        <w:tc>
          <w:tcPr>
            <w:tcW w:w="1019" w:type="dxa"/>
            <w:vAlign w:val="center"/>
          </w:tcPr>
          <w:p w:rsidR="00133BC5" w:rsidRPr="003A008A" w:rsidRDefault="00133BC5" w:rsidP="00133BC5">
            <w:pPr>
              <w:spacing w:after="0"/>
              <w:contextualSpacing/>
              <w:jc w:val="right"/>
              <w:rPr>
                <w:rFonts w:ascii="Century" w:hAnsi="Century"/>
                <w:b/>
                <w:bCs/>
                <w:sz w:val="20"/>
                <w:szCs w:val="20"/>
              </w:rPr>
            </w:pPr>
            <w:r>
              <w:rPr>
                <w:rFonts w:ascii="Century" w:hAnsi="Century"/>
                <w:b/>
                <w:bCs/>
                <w:sz w:val="20"/>
                <w:szCs w:val="20"/>
              </w:rPr>
              <w:t>794</w:t>
            </w:r>
          </w:p>
        </w:tc>
      </w:tr>
      <w:tr w:rsidR="00133BC5" w:rsidRPr="00920E8A" w:rsidTr="006A22F2">
        <w:trPr>
          <w:trHeight w:val="340"/>
        </w:trPr>
        <w:tc>
          <w:tcPr>
            <w:tcW w:w="5211" w:type="dxa"/>
            <w:tcBorders>
              <w:top w:val="nil"/>
              <w:left w:val="nil"/>
              <w:bottom w:val="single" w:sz="4" w:space="0" w:color="auto"/>
              <w:right w:val="nil"/>
            </w:tcBorders>
            <w:shd w:val="clear" w:color="auto" w:fill="F2F2F2"/>
            <w:vAlign w:val="center"/>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
                <w:bCs/>
                <w:sz w:val="20"/>
                <w:szCs w:val="20"/>
              </w:rPr>
              <w:t>Дефицит/профицит</w:t>
            </w:r>
          </w:p>
        </w:tc>
        <w:tc>
          <w:tcPr>
            <w:tcW w:w="1019" w:type="dxa"/>
            <w:tcBorders>
              <w:top w:val="nil"/>
              <w:left w:val="nil"/>
              <w:bottom w:val="single" w:sz="4" w:space="0" w:color="auto"/>
              <w:right w:val="nil"/>
            </w:tcBorders>
            <w:shd w:val="clear" w:color="auto" w:fill="F2F2F2"/>
            <w:vAlign w:val="center"/>
          </w:tcPr>
          <w:p w:rsidR="00133BC5" w:rsidRPr="003A008A" w:rsidRDefault="00133BC5" w:rsidP="00133BC5">
            <w:pPr>
              <w:spacing w:after="0"/>
              <w:contextualSpacing/>
              <w:jc w:val="right"/>
              <w:rPr>
                <w:rFonts w:ascii="Century" w:hAnsi="Century"/>
                <w:b/>
                <w:bCs/>
                <w:sz w:val="20"/>
                <w:szCs w:val="20"/>
              </w:rPr>
            </w:pPr>
            <w:r w:rsidRPr="003A008A">
              <w:rPr>
                <w:rFonts w:ascii="Century" w:hAnsi="Century"/>
                <w:b/>
                <w:bCs/>
                <w:sz w:val="20"/>
                <w:szCs w:val="20"/>
              </w:rPr>
              <w:t>-27,7</w:t>
            </w:r>
          </w:p>
        </w:tc>
        <w:tc>
          <w:tcPr>
            <w:tcW w:w="1019" w:type="dxa"/>
            <w:tcBorders>
              <w:top w:val="nil"/>
              <w:left w:val="nil"/>
              <w:bottom w:val="single" w:sz="4" w:space="0" w:color="auto"/>
              <w:right w:val="nil"/>
            </w:tcBorders>
            <w:shd w:val="clear" w:color="auto" w:fill="F2F2F2"/>
            <w:vAlign w:val="center"/>
          </w:tcPr>
          <w:p w:rsidR="00133BC5" w:rsidRPr="003A008A" w:rsidRDefault="00133BC5" w:rsidP="00133BC5">
            <w:pPr>
              <w:spacing w:after="0"/>
              <w:contextualSpacing/>
              <w:jc w:val="right"/>
              <w:rPr>
                <w:rFonts w:ascii="Century" w:hAnsi="Century"/>
                <w:b/>
                <w:bCs/>
                <w:sz w:val="20"/>
                <w:szCs w:val="20"/>
              </w:rPr>
            </w:pPr>
            <w:r w:rsidRPr="003A008A">
              <w:rPr>
                <w:rFonts w:ascii="Century" w:hAnsi="Century"/>
                <w:b/>
                <w:bCs/>
                <w:sz w:val="20"/>
                <w:szCs w:val="20"/>
              </w:rPr>
              <w:t>3,8</w:t>
            </w:r>
          </w:p>
        </w:tc>
        <w:tc>
          <w:tcPr>
            <w:tcW w:w="1019" w:type="dxa"/>
            <w:tcBorders>
              <w:top w:val="nil"/>
              <w:left w:val="nil"/>
              <w:bottom w:val="single" w:sz="4" w:space="0" w:color="auto"/>
              <w:right w:val="nil"/>
            </w:tcBorders>
            <w:shd w:val="clear" w:color="auto" w:fill="F2F2F2"/>
            <w:vAlign w:val="center"/>
          </w:tcPr>
          <w:p w:rsidR="00133BC5" w:rsidRPr="003A008A" w:rsidRDefault="00133BC5" w:rsidP="00133BC5">
            <w:pPr>
              <w:spacing w:after="0"/>
              <w:contextualSpacing/>
              <w:jc w:val="right"/>
              <w:rPr>
                <w:rFonts w:ascii="Century" w:hAnsi="Century"/>
                <w:b/>
                <w:bCs/>
                <w:sz w:val="20"/>
                <w:szCs w:val="20"/>
              </w:rPr>
            </w:pPr>
            <w:r w:rsidRPr="003A008A">
              <w:rPr>
                <w:rFonts w:ascii="Century" w:hAnsi="Century"/>
                <w:b/>
                <w:bCs/>
                <w:sz w:val="20"/>
                <w:szCs w:val="20"/>
              </w:rPr>
              <w:t>-2,9</w:t>
            </w:r>
          </w:p>
        </w:tc>
        <w:tc>
          <w:tcPr>
            <w:tcW w:w="1019" w:type="dxa"/>
            <w:tcBorders>
              <w:top w:val="nil"/>
              <w:left w:val="nil"/>
              <w:bottom w:val="single" w:sz="4" w:space="0" w:color="auto"/>
              <w:right w:val="nil"/>
            </w:tcBorders>
            <w:shd w:val="clear" w:color="auto" w:fill="F2F2F2"/>
            <w:vAlign w:val="center"/>
          </w:tcPr>
          <w:p w:rsidR="00133BC5" w:rsidRPr="003A008A" w:rsidRDefault="00133BC5" w:rsidP="00133BC5">
            <w:pPr>
              <w:spacing w:after="0"/>
              <w:contextualSpacing/>
              <w:jc w:val="right"/>
              <w:rPr>
                <w:rFonts w:ascii="Century" w:hAnsi="Century"/>
                <w:b/>
                <w:bCs/>
                <w:sz w:val="20"/>
                <w:szCs w:val="20"/>
              </w:rPr>
            </w:pPr>
            <w:r w:rsidRPr="003A008A">
              <w:rPr>
                <w:rFonts w:ascii="Century" w:hAnsi="Century"/>
                <w:b/>
                <w:bCs/>
                <w:sz w:val="20"/>
                <w:szCs w:val="20"/>
              </w:rPr>
              <w:t>-21,8</w:t>
            </w:r>
          </w:p>
        </w:tc>
      </w:tr>
    </w:tbl>
    <w:p w:rsidR="00133BC5" w:rsidRPr="006A22F2" w:rsidRDefault="00133BC5" w:rsidP="006A22F2">
      <w:pPr>
        <w:spacing w:after="120"/>
        <w:jc w:val="both"/>
        <w:rPr>
          <w:rFonts w:ascii="Times New Roman" w:hAnsi="Times New Roman"/>
          <w:sz w:val="24"/>
          <w:szCs w:val="28"/>
        </w:rPr>
      </w:pPr>
      <w:r w:rsidRPr="006A22F2">
        <w:rPr>
          <w:rFonts w:ascii="Times New Roman" w:hAnsi="Times New Roman"/>
          <w:b/>
          <w:sz w:val="24"/>
          <w:szCs w:val="28"/>
        </w:rPr>
        <w:t>Доходная часть</w:t>
      </w:r>
      <w:r w:rsidRPr="006A22F2">
        <w:rPr>
          <w:rFonts w:ascii="Times New Roman" w:hAnsi="Times New Roman"/>
          <w:sz w:val="24"/>
          <w:szCs w:val="28"/>
        </w:rPr>
        <w:t xml:space="preserve"> бюджета Фонда социального страхования формируется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с учетом страховых взносов, поступающих в бюджет Фонда по названным видам обязательного социального страхования.</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 xml:space="preserve">Доходы от страховых взносов на обязательное социальное страхование на случай временной нетрудоспособности и в связи с материнством определяются исходя из тарифа 2,9% по основной категории плательщиков и по пониженным тарифам. </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 xml:space="preserve">Тарифы страховых взносов на обязательное социальное страхование от несчастных случаев на производстве и профессиональных заболеваний, дифференцированные по видам экономической деятельности в зависимости от класса профессионального риска, устанавливаются ежегодно. </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Доходная часть бюджета Фонда социального страхования также формируется с учетом межбюджетных трансфертов из федерального бюджета, передаваемых на исполнение отдельных государственных полномочий. Их объем оценивается в 2019 году в 33,4 млрд. рублей, в 2019 году – 33,7 млрд. рублей, в 2020 году – 34,2 млрд. рублей.</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 xml:space="preserve">При прогнозе </w:t>
      </w:r>
      <w:r w:rsidRPr="006A22F2">
        <w:rPr>
          <w:rFonts w:ascii="Times New Roman" w:hAnsi="Times New Roman"/>
          <w:b/>
          <w:sz w:val="24"/>
          <w:szCs w:val="28"/>
        </w:rPr>
        <w:t>расходов</w:t>
      </w:r>
      <w:r w:rsidRPr="006A22F2">
        <w:rPr>
          <w:rFonts w:ascii="Times New Roman" w:hAnsi="Times New Roman"/>
          <w:sz w:val="24"/>
          <w:szCs w:val="28"/>
        </w:rPr>
        <w:t xml:space="preserve"> бюджета Фонда социального страхования учитываются данные о численности получателей (количестве выплат) соответствующих социальных пособий и выплат, а также их размеров. </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 xml:space="preserve">В рассматриваемом периоде сохраняется риск повышения </w:t>
      </w:r>
      <w:r w:rsidRPr="006A22F2">
        <w:rPr>
          <w:rFonts w:ascii="Times New Roman" w:hAnsi="Times New Roman"/>
          <w:b/>
          <w:sz w:val="24"/>
          <w:szCs w:val="28"/>
        </w:rPr>
        <w:t>дефицита</w:t>
      </w:r>
      <w:r w:rsidRPr="006A22F2">
        <w:rPr>
          <w:rFonts w:ascii="Times New Roman" w:hAnsi="Times New Roman"/>
          <w:sz w:val="24"/>
          <w:szCs w:val="28"/>
        </w:rPr>
        <w:t xml:space="preserve"> бюджета Фонда социального страхования Российской Федерации в части обязательного социального страхования на случай временной нетрудоспособности и в связи с материнством.</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 xml:space="preserve">Предполагается, что на покрытие дефицита бюджета Фонда в части обязательного социального страхования по случаю временной нетрудоспособности и в связи с материнством будет использован «резерв по обязательному социальному страхованию от несчастных случаев на производстве». </w:t>
      </w:r>
    </w:p>
    <w:p w:rsidR="00133BC5" w:rsidRPr="006A22F2" w:rsidRDefault="00133BC5" w:rsidP="00133BC5">
      <w:pPr>
        <w:rPr>
          <w:rFonts w:ascii="Times New Roman" w:hAnsi="Times New Roman"/>
          <w:b/>
          <w:sz w:val="28"/>
          <w:szCs w:val="28"/>
        </w:rPr>
      </w:pPr>
      <w:r w:rsidRPr="006A22F2">
        <w:rPr>
          <w:rFonts w:ascii="Times New Roman" w:hAnsi="Times New Roman"/>
          <w:b/>
          <w:sz w:val="28"/>
          <w:szCs w:val="28"/>
        </w:rPr>
        <w:t>Федеральный фонд обязательного медицинского страхования</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Формирование объема и структуры расходов бюджета Федерального фонда обязательного медицинского страхования на 2019-2021 годы осуществляется исходя из необходимости концентрации расходов на выполнении приоритетного направления государственной политики в сфере обязательного медицинского страхования, связанных с улучшением здоровья населения на базе развития первичной медико-санитарной помощи, усиления профилактической направленности здравоохранения, мероприятий по охране материнства и детства, повышения доступности и качества медицинской помощи, создания необходимых условий для оказания высокотехнологичной медицинской помощи, формирования здорового образа жизни.</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lastRenderedPageBreak/>
        <w:t xml:space="preserve">Увеличение </w:t>
      </w:r>
      <w:r w:rsidRPr="006A22F2">
        <w:rPr>
          <w:rFonts w:ascii="Times New Roman" w:hAnsi="Times New Roman"/>
          <w:b/>
          <w:sz w:val="24"/>
          <w:szCs w:val="28"/>
        </w:rPr>
        <w:t>доходов</w:t>
      </w:r>
      <w:r w:rsidRPr="006A22F2">
        <w:rPr>
          <w:rFonts w:ascii="Times New Roman" w:hAnsi="Times New Roman"/>
          <w:sz w:val="24"/>
          <w:szCs w:val="28"/>
        </w:rPr>
        <w:t xml:space="preserve"> Федерального фонда обязательного медицинского страхования будет осуществляться за счёт поступающих сумм страховых взносов на обязательное медицинское страхование работающего и неработающего населения.</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b/>
          <w:sz w:val="24"/>
          <w:szCs w:val="28"/>
        </w:rPr>
        <w:t>Таблица 4.3.3</w:t>
      </w:r>
      <w:r w:rsidRPr="006A22F2">
        <w:rPr>
          <w:rFonts w:ascii="Times New Roman" w:hAnsi="Times New Roman"/>
          <w:b/>
          <w:sz w:val="24"/>
        </w:rPr>
        <w:t>.</w:t>
      </w:r>
      <w:r w:rsidRPr="006A22F2">
        <w:rPr>
          <w:rFonts w:ascii="Times New Roman" w:hAnsi="Times New Roman"/>
          <w:sz w:val="24"/>
          <w:szCs w:val="28"/>
        </w:rPr>
        <w:t xml:space="preserve"> Основные характеристики бюджета Федерального фонда обязательного медицинского страхования в 2018-2021 гг.</w:t>
      </w:r>
    </w:p>
    <w:p w:rsidR="00133BC5" w:rsidRPr="006A22F2" w:rsidRDefault="00133BC5" w:rsidP="00133BC5">
      <w:pPr>
        <w:spacing w:after="0"/>
        <w:jc w:val="right"/>
        <w:rPr>
          <w:rFonts w:ascii="Times New Roman" w:hAnsi="Times New Roman"/>
          <w:szCs w:val="28"/>
        </w:rPr>
      </w:pPr>
      <w:r w:rsidRPr="006A22F2">
        <w:rPr>
          <w:rFonts w:ascii="Times New Roman" w:hAnsi="Times New Roman"/>
          <w:i/>
          <w:szCs w:val="28"/>
        </w:rPr>
        <w:t>млрд  рублей</w:t>
      </w:r>
    </w:p>
    <w:tbl>
      <w:tblPr>
        <w:tblW w:w="9287" w:type="dxa"/>
        <w:tblLayout w:type="fixed"/>
        <w:tblLook w:val="00A0" w:firstRow="1" w:lastRow="0" w:firstColumn="1" w:lastColumn="0" w:noHBand="0" w:noVBand="0"/>
      </w:tblPr>
      <w:tblGrid>
        <w:gridCol w:w="5211"/>
        <w:gridCol w:w="1019"/>
        <w:gridCol w:w="1019"/>
        <w:gridCol w:w="1019"/>
        <w:gridCol w:w="1019"/>
      </w:tblGrid>
      <w:tr w:rsidR="00133BC5" w:rsidRPr="00A34C5F" w:rsidTr="006A22F2">
        <w:trPr>
          <w:trHeight w:val="340"/>
        </w:trPr>
        <w:tc>
          <w:tcPr>
            <w:tcW w:w="5211" w:type="dxa"/>
            <w:tcBorders>
              <w:top w:val="nil"/>
              <w:left w:val="nil"/>
              <w:bottom w:val="single" w:sz="4" w:space="0" w:color="auto"/>
              <w:right w:val="nil"/>
            </w:tcBorders>
          </w:tcPr>
          <w:p w:rsidR="00133BC5" w:rsidRPr="00A34C5F" w:rsidRDefault="00133BC5" w:rsidP="00133BC5">
            <w:pPr>
              <w:spacing w:after="0"/>
              <w:contextualSpacing/>
              <w:rPr>
                <w:rFonts w:ascii="Century" w:hAnsi="Century"/>
                <w:b/>
                <w:bCs/>
                <w:szCs w:val="20"/>
              </w:rPr>
            </w:pPr>
            <w:r w:rsidRPr="00A34C5F">
              <w:rPr>
                <w:rFonts w:ascii="Century" w:hAnsi="Century"/>
                <w:b/>
                <w:bCs/>
                <w:szCs w:val="20"/>
              </w:rPr>
              <w:t>Показатель</w:t>
            </w:r>
          </w:p>
        </w:tc>
        <w:tc>
          <w:tcPr>
            <w:tcW w:w="1019" w:type="dxa"/>
            <w:tcBorders>
              <w:top w:val="nil"/>
              <w:left w:val="nil"/>
              <w:bottom w:val="single" w:sz="4" w:space="0" w:color="auto"/>
              <w:right w:val="nil"/>
            </w:tcBorders>
          </w:tcPr>
          <w:p w:rsidR="00133BC5" w:rsidRPr="00A34C5F" w:rsidRDefault="00133BC5" w:rsidP="00133BC5">
            <w:pPr>
              <w:spacing w:after="0"/>
              <w:contextualSpacing/>
              <w:jc w:val="center"/>
              <w:rPr>
                <w:rFonts w:ascii="Century" w:hAnsi="Century"/>
                <w:b/>
                <w:bCs/>
                <w:szCs w:val="20"/>
              </w:rPr>
            </w:pPr>
            <w:r w:rsidRPr="00A34C5F">
              <w:rPr>
                <w:rFonts w:ascii="Century" w:hAnsi="Century"/>
                <w:b/>
                <w:bCs/>
                <w:szCs w:val="20"/>
              </w:rPr>
              <w:t>2018</w:t>
            </w:r>
          </w:p>
        </w:tc>
        <w:tc>
          <w:tcPr>
            <w:tcW w:w="1019" w:type="dxa"/>
            <w:tcBorders>
              <w:top w:val="nil"/>
              <w:left w:val="nil"/>
              <w:bottom w:val="single" w:sz="4" w:space="0" w:color="auto"/>
              <w:right w:val="nil"/>
            </w:tcBorders>
          </w:tcPr>
          <w:p w:rsidR="00133BC5" w:rsidRPr="00A34C5F" w:rsidRDefault="00133BC5" w:rsidP="00133BC5">
            <w:pPr>
              <w:spacing w:after="0"/>
              <w:contextualSpacing/>
              <w:jc w:val="center"/>
              <w:rPr>
                <w:rFonts w:ascii="Century" w:hAnsi="Century"/>
                <w:b/>
                <w:bCs/>
                <w:szCs w:val="20"/>
              </w:rPr>
            </w:pPr>
            <w:r w:rsidRPr="00A34C5F">
              <w:rPr>
                <w:rFonts w:ascii="Century" w:hAnsi="Century"/>
                <w:b/>
                <w:bCs/>
                <w:szCs w:val="20"/>
              </w:rPr>
              <w:t>2019</w:t>
            </w:r>
          </w:p>
        </w:tc>
        <w:tc>
          <w:tcPr>
            <w:tcW w:w="1019" w:type="dxa"/>
            <w:tcBorders>
              <w:top w:val="nil"/>
              <w:left w:val="nil"/>
              <w:bottom w:val="single" w:sz="4" w:space="0" w:color="auto"/>
              <w:right w:val="nil"/>
            </w:tcBorders>
          </w:tcPr>
          <w:p w:rsidR="00133BC5" w:rsidRPr="00A34C5F" w:rsidRDefault="00133BC5" w:rsidP="00133BC5">
            <w:pPr>
              <w:spacing w:after="0"/>
              <w:contextualSpacing/>
              <w:jc w:val="center"/>
              <w:rPr>
                <w:rFonts w:ascii="Century" w:hAnsi="Century"/>
                <w:b/>
                <w:bCs/>
                <w:szCs w:val="20"/>
              </w:rPr>
            </w:pPr>
            <w:r w:rsidRPr="00A34C5F">
              <w:rPr>
                <w:rFonts w:ascii="Century" w:hAnsi="Century"/>
                <w:b/>
                <w:bCs/>
                <w:szCs w:val="20"/>
              </w:rPr>
              <w:t>2020</w:t>
            </w:r>
          </w:p>
        </w:tc>
        <w:tc>
          <w:tcPr>
            <w:tcW w:w="1019" w:type="dxa"/>
            <w:tcBorders>
              <w:top w:val="nil"/>
              <w:left w:val="nil"/>
              <w:bottom w:val="single" w:sz="4" w:space="0" w:color="auto"/>
              <w:right w:val="nil"/>
            </w:tcBorders>
          </w:tcPr>
          <w:p w:rsidR="00133BC5" w:rsidRPr="00A34C5F" w:rsidRDefault="00133BC5" w:rsidP="00133BC5">
            <w:pPr>
              <w:spacing w:after="0"/>
              <w:contextualSpacing/>
              <w:jc w:val="center"/>
              <w:rPr>
                <w:rFonts w:ascii="Century" w:hAnsi="Century"/>
                <w:b/>
                <w:bCs/>
                <w:szCs w:val="20"/>
              </w:rPr>
            </w:pPr>
            <w:r w:rsidRPr="00A34C5F">
              <w:rPr>
                <w:rFonts w:ascii="Century" w:hAnsi="Century"/>
                <w:b/>
                <w:bCs/>
                <w:szCs w:val="20"/>
              </w:rPr>
              <w:t>2021</w:t>
            </w:r>
          </w:p>
        </w:tc>
      </w:tr>
      <w:tr w:rsidR="00133BC5" w:rsidRPr="00A34C5F" w:rsidTr="006A22F2">
        <w:trPr>
          <w:trHeight w:val="340"/>
        </w:trPr>
        <w:tc>
          <w:tcPr>
            <w:tcW w:w="5211" w:type="dxa"/>
            <w:shd w:val="clear" w:color="auto" w:fill="F2F2F2"/>
            <w:vAlign w:val="center"/>
          </w:tcPr>
          <w:p w:rsidR="00133BC5" w:rsidRPr="00A34C5F" w:rsidRDefault="00133BC5" w:rsidP="00133BC5">
            <w:pPr>
              <w:spacing w:after="0"/>
              <w:contextualSpacing/>
              <w:rPr>
                <w:rFonts w:ascii="Century" w:hAnsi="Century"/>
                <w:b/>
                <w:bCs/>
                <w:i/>
                <w:iCs/>
                <w:sz w:val="20"/>
                <w:szCs w:val="20"/>
                <w:lang w:eastAsia="ru-RU"/>
              </w:rPr>
            </w:pPr>
            <w:r w:rsidRPr="00A34C5F">
              <w:rPr>
                <w:rFonts w:ascii="Century" w:hAnsi="Century"/>
                <w:b/>
                <w:bCs/>
                <w:sz w:val="20"/>
                <w:szCs w:val="20"/>
              </w:rPr>
              <w:t>Доходы</w:t>
            </w:r>
          </w:p>
        </w:tc>
        <w:tc>
          <w:tcPr>
            <w:tcW w:w="1019" w:type="dxa"/>
            <w:shd w:val="clear" w:color="auto" w:fill="F2F2F2"/>
            <w:vAlign w:val="center"/>
          </w:tcPr>
          <w:p w:rsidR="00133BC5" w:rsidRPr="00A34C5F" w:rsidRDefault="00133BC5" w:rsidP="00133BC5">
            <w:pPr>
              <w:spacing w:after="0"/>
              <w:contextualSpacing/>
              <w:jc w:val="right"/>
              <w:rPr>
                <w:rFonts w:ascii="Century" w:hAnsi="Century"/>
                <w:b/>
                <w:bCs/>
                <w:sz w:val="20"/>
                <w:szCs w:val="20"/>
              </w:rPr>
            </w:pPr>
            <w:r w:rsidRPr="00A34C5F">
              <w:rPr>
                <w:rFonts w:ascii="Century" w:hAnsi="Century"/>
                <w:b/>
                <w:bCs/>
                <w:sz w:val="20"/>
                <w:szCs w:val="20"/>
              </w:rPr>
              <w:t>1 888</w:t>
            </w:r>
          </w:p>
        </w:tc>
        <w:tc>
          <w:tcPr>
            <w:tcW w:w="1019" w:type="dxa"/>
            <w:shd w:val="clear" w:color="auto" w:fill="F2F2F2"/>
            <w:vAlign w:val="center"/>
          </w:tcPr>
          <w:p w:rsidR="00133BC5" w:rsidRPr="00A34C5F" w:rsidRDefault="00133BC5" w:rsidP="00133BC5">
            <w:pPr>
              <w:spacing w:after="0"/>
              <w:contextualSpacing/>
              <w:jc w:val="right"/>
              <w:rPr>
                <w:rFonts w:ascii="Century" w:hAnsi="Century"/>
                <w:b/>
                <w:bCs/>
                <w:sz w:val="20"/>
                <w:szCs w:val="20"/>
              </w:rPr>
            </w:pPr>
            <w:r w:rsidRPr="00A34C5F">
              <w:rPr>
                <w:rFonts w:ascii="Century" w:hAnsi="Century"/>
                <w:b/>
                <w:bCs/>
                <w:sz w:val="20"/>
                <w:szCs w:val="20"/>
              </w:rPr>
              <w:t>1 997</w:t>
            </w:r>
          </w:p>
        </w:tc>
        <w:tc>
          <w:tcPr>
            <w:tcW w:w="1019" w:type="dxa"/>
            <w:shd w:val="clear" w:color="auto" w:fill="F2F2F2"/>
            <w:vAlign w:val="center"/>
          </w:tcPr>
          <w:p w:rsidR="00133BC5" w:rsidRPr="00A34C5F" w:rsidRDefault="00133BC5" w:rsidP="00133BC5">
            <w:pPr>
              <w:spacing w:after="0"/>
              <w:contextualSpacing/>
              <w:jc w:val="right"/>
              <w:rPr>
                <w:rFonts w:ascii="Century" w:hAnsi="Century"/>
                <w:b/>
                <w:bCs/>
                <w:sz w:val="20"/>
                <w:szCs w:val="20"/>
              </w:rPr>
            </w:pPr>
            <w:r w:rsidRPr="00A34C5F">
              <w:rPr>
                <w:rFonts w:ascii="Century" w:hAnsi="Century"/>
                <w:b/>
                <w:bCs/>
                <w:sz w:val="20"/>
                <w:szCs w:val="20"/>
              </w:rPr>
              <w:t>2 171</w:t>
            </w:r>
          </w:p>
        </w:tc>
        <w:tc>
          <w:tcPr>
            <w:tcW w:w="1019" w:type="dxa"/>
            <w:shd w:val="clear" w:color="auto" w:fill="F2F2F2"/>
            <w:vAlign w:val="center"/>
          </w:tcPr>
          <w:p w:rsidR="00133BC5" w:rsidRPr="00A34C5F" w:rsidRDefault="00133BC5" w:rsidP="00133BC5">
            <w:pPr>
              <w:spacing w:after="0"/>
              <w:contextualSpacing/>
              <w:jc w:val="right"/>
              <w:rPr>
                <w:rFonts w:ascii="Century" w:hAnsi="Century"/>
                <w:b/>
                <w:bCs/>
                <w:sz w:val="20"/>
                <w:szCs w:val="20"/>
              </w:rPr>
            </w:pPr>
            <w:r w:rsidRPr="00A34C5F">
              <w:rPr>
                <w:rFonts w:ascii="Century" w:hAnsi="Century"/>
                <w:b/>
                <w:bCs/>
                <w:sz w:val="20"/>
                <w:szCs w:val="20"/>
              </w:rPr>
              <w:t>2 284</w:t>
            </w:r>
          </w:p>
        </w:tc>
      </w:tr>
      <w:tr w:rsidR="00133BC5" w:rsidRPr="00A34C5F" w:rsidTr="006A22F2">
        <w:trPr>
          <w:trHeight w:val="340"/>
        </w:trPr>
        <w:tc>
          <w:tcPr>
            <w:tcW w:w="5211" w:type="dxa"/>
            <w:vAlign w:val="center"/>
          </w:tcPr>
          <w:p w:rsidR="00133BC5" w:rsidRPr="00A34C5F" w:rsidRDefault="00133BC5" w:rsidP="00133BC5">
            <w:pPr>
              <w:spacing w:after="0"/>
              <w:contextualSpacing/>
              <w:rPr>
                <w:rFonts w:ascii="Century" w:hAnsi="Century"/>
                <w:b/>
                <w:bCs/>
                <w:i/>
                <w:iCs/>
                <w:sz w:val="20"/>
                <w:szCs w:val="20"/>
                <w:lang w:eastAsia="ru-RU"/>
              </w:rPr>
            </w:pPr>
            <w:r w:rsidRPr="00A34C5F">
              <w:rPr>
                <w:rFonts w:ascii="Century" w:hAnsi="Century"/>
                <w:bCs/>
                <w:i/>
                <w:sz w:val="20"/>
                <w:szCs w:val="20"/>
              </w:rPr>
              <w:t>Страховые взносы на ОМС</w:t>
            </w:r>
          </w:p>
        </w:tc>
        <w:tc>
          <w:tcPr>
            <w:tcW w:w="1019" w:type="dxa"/>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1 825,8</w:t>
            </w:r>
          </w:p>
        </w:tc>
        <w:tc>
          <w:tcPr>
            <w:tcW w:w="1019" w:type="dxa"/>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1 952,0</w:t>
            </w:r>
          </w:p>
        </w:tc>
        <w:tc>
          <w:tcPr>
            <w:tcW w:w="1019" w:type="dxa"/>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2 048,8</w:t>
            </w:r>
          </w:p>
        </w:tc>
        <w:tc>
          <w:tcPr>
            <w:tcW w:w="1019" w:type="dxa"/>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2 161,6</w:t>
            </w:r>
          </w:p>
        </w:tc>
      </w:tr>
      <w:tr w:rsidR="00133BC5" w:rsidRPr="00A34C5F" w:rsidTr="006A22F2">
        <w:trPr>
          <w:trHeight w:val="340"/>
        </w:trPr>
        <w:tc>
          <w:tcPr>
            <w:tcW w:w="5211" w:type="dxa"/>
            <w:vAlign w:val="center"/>
          </w:tcPr>
          <w:p w:rsidR="00133BC5" w:rsidRPr="00A34C5F" w:rsidRDefault="00133BC5" w:rsidP="00133BC5">
            <w:pPr>
              <w:spacing w:after="0"/>
              <w:contextualSpacing/>
              <w:rPr>
                <w:rFonts w:ascii="Century" w:hAnsi="Century"/>
                <w:i/>
                <w:iCs/>
                <w:color w:val="000000"/>
                <w:sz w:val="20"/>
                <w:szCs w:val="20"/>
              </w:rPr>
            </w:pPr>
            <w:r w:rsidRPr="00A34C5F">
              <w:rPr>
                <w:rFonts w:ascii="Century" w:hAnsi="Century"/>
                <w:i/>
                <w:iCs/>
                <w:color w:val="000000"/>
                <w:sz w:val="20"/>
                <w:szCs w:val="20"/>
              </w:rPr>
              <w:t xml:space="preserve">Недоимка по взносам и прочие доходы </w:t>
            </w:r>
          </w:p>
        </w:tc>
        <w:tc>
          <w:tcPr>
            <w:tcW w:w="1019" w:type="dxa"/>
            <w:vAlign w:val="center"/>
          </w:tcPr>
          <w:p w:rsidR="00133BC5" w:rsidRPr="00A34C5F" w:rsidRDefault="00133BC5" w:rsidP="00133BC5">
            <w:pPr>
              <w:spacing w:after="0"/>
              <w:contextualSpacing/>
              <w:jc w:val="right"/>
              <w:rPr>
                <w:rFonts w:ascii="Century" w:hAnsi="Century"/>
                <w:color w:val="000000"/>
                <w:sz w:val="20"/>
                <w:szCs w:val="20"/>
              </w:rPr>
            </w:pPr>
            <w:r w:rsidRPr="00A34C5F">
              <w:rPr>
                <w:rFonts w:ascii="Century" w:hAnsi="Century"/>
                <w:color w:val="000000"/>
                <w:sz w:val="20"/>
                <w:szCs w:val="20"/>
              </w:rPr>
              <w:t>29,8</w:t>
            </w:r>
          </w:p>
        </w:tc>
        <w:tc>
          <w:tcPr>
            <w:tcW w:w="1019" w:type="dxa"/>
            <w:vAlign w:val="center"/>
          </w:tcPr>
          <w:p w:rsidR="00133BC5" w:rsidRPr="00A34C5F" w:rsidRDefault="00133BC5" w:rsidP="00133BC5">
            <w:pPr>
              <w:spacing w:after="0"/>
              <w:contextualSpacing/>
              <w:jc w:val="right"/>
              <w:rPr>
                <w:rFonts w:ascii="Century" w:hAnsi="Century"/>
                <w:color w:val="000000"/>
                <w:sz w:val="20"/>
                <w:szCs w:val="20"/>
              </w:rPr>
            </w:pPr>
            <w:r w:rsidRPr="00A34C5F">
              <w:rPr>
                <w:rFonts w:ascii="Century" w:hAnsi="Century"/>
                <w:color w:val="000000"/>
                <w:sz w:val="20"/>
                <w:szCs w:val="20"/>
              </w:rPr>
              <w:t>36,9</w:t>
            </w:r>
          </w:p>
        </w:tc>
        <w:tc>
          <w:tcPr>
            <w:tcW w:w="1019" w:type="dxa"/>
            <w:vAlign w:val="center"/>
          </w:tcPr>
          <w:p w:rsidR="00133BC5" w:rsidRPr="00A34C5F" w:rsidRDefault="00133BC5" w:rsidP="00133BC5">
            <w:pPr>
              <w:spacing w:after="0"/>
              <w:contextualSpacing/>
              <w:jc w:val="right"/>
              <w:rPr>
                <w:rFonts w:ascii="Century" w:hAnsi="Century"/>
                <w:color w:val="000000"/>
                <w:sz w:val="20"/>
                <w:szCs w:val="20"/>
              </w:rPr>
            </w:pPr>
            <w:r w:rsidRPr="00A34C5F">
              <w:rPr>
                <w:rFonts w:ascii="Century" w:hAnsi="Century"/>
                <w:color w:val="000000"/>
                <w:sz w:val="20"/>
                <w:szCs w:val="20"/>
              </w:rPr>
              <w:t>7,1</w:t>
            </w:r>
          </w:p>
        </w:tc>
        <w:tc>
          <w:tcPr>
            <w:tcW w:w="1019" w:type="dxa"/>
            <w:vAlign w:val="center"/>
          </w:tcPr>
          <w:p w:rsidR="00133BC5" w:rsidRPr="00A34C5F" w:rsidRDefault="00133BC5" w:rsidP="00133BC5">
            <w:pPr>
              <w:spacing w:after="0"/>
              <w:contextualSpacing/>
              <w:jc w:val="right"/>
              <w:rPr>
                <w:rFonts w:ascii="Century" w:hAnsi="Century"/>
                <w:color w:val="000000"/>
                <w:sz w:val="20"/>
                <w:szCs w:val="20"/>
              </w:rPr>
            </w:pPr>
            <w:r w:rsidRPr="00A34C5F">
              <w:rPr>
                <w:rFonts w:ascii="Century" w:hAnsi="Century"/>
                <w:color w:val="000000"/>
                <w:sz w:val="20"/>
                <w:szCs w:val="20"/>
              </w:rPr>
              <w:t>0,0</w:t>
            </w:r>
          </w:p>
        </w:tc>
      </w:tr>
      <w:tr w:rsidR="00133BC5" w:rsidRPr="00A34C5F" w:rsidTr="006A22F2">
        <w:trPr>
          <w:trHeight w:val="340"/>
        </w:trPr>
        <w:tc>
          <w:tcPr>
            <w:tcW w:w="5211" w:type="dxa"/>
            <w:shd w:val="clear" w:color="auto" w:fill="F2F2F2"/>
            <w:vAlign w:val="center"/>
          </w:tcPr>
          <w:p w:rsidR="00133BC5" w:rsidRPr="00A34C5F" w:rsidRDefault="00133BC5" w:rsidP="00133BC5">
            <w:pPr>
              <w:spacing w:after="0"/>
              <w:contextualSpacing/>
              <w:rPr>
                <w:rFonts w:ascii="Century" w:hAnsi="Century"/>
                <w:b/>
                <w:bCs/>
                <w:sz w:val="20"/>
                <w:szCs w:val="20"/>
                <w:lang w:eastAsia="ru-RU"/>
              </w:rPr>
            </w:pPr>
            <w:r w:rsidRPr="00A34C5F">
              <w:rPr>
                <w:rFonts w:ascii="Century" w:hAnsi="Century"/>
                <w:bCs/>
                <w:i/>
                <w:sz w:val="20"/>
                <w:szCs w:val="20"/>
              </w:rPr>
              <w:t>Трансферты из федерального бюджета на компенсацию выпадающих доходов</w:t>
            </w:r>
          </w:p>
        </w:tc>
        <w:tc>
          <w:tcPr>
            <w:tcW w:w="1019" w:type="dxa"/>
            <w:shd w:val="clear" w:color="auto" w:fill="F2F2F2"/>
            <w:vAlign w:val="center"/>
          </w:tcPr>
          <w:p w:rsidR="00133BC5" w:rsidRPr="00A34C5F" w:rsidRDefault="00133BC5" w:rsidP="00133BC5">
            <w:pPr>
              <w:spacing w:after="0"/>
              <w:contextualSpacing/>
              <w:jc w:val="right"/>
              <w:rPr>
                <w:rFonts w:ascii="Century" w:hAnsi="Century"/>
                <w:sz w:val="20"/>
                <w:szCs w:val="20"/>
              </w:rPr>
            </w:pPr>
            <w:r w:rsidRPr="00A34C5F">
              <w:rPr>
                <w:rFonts w:ascii="Century" w:hAnsi="Century"/>
                <w:sz w:val="20"/>
                <w:szCs w:val="20"/>
              </w:rPr>
              <w:t>32,2</w:t>
            </w:r>
          </w:p>
        </w:tc>
        <w:tc>
          <w:tcPr>
            <w:tcW w:w="1019" w:type="dxa"/>
            <w:shd w:val="clear" w:color="auto" w:fill="F2F2F2"/>
            <w:vAlign w:val="center"/>
          </w:tcPr>
          <w:p w:rsidR="00133BC5" w:rsidRPr="00A34C5F" w:rsidRDefault="00133BC5" w:rsidP="00133BC5">
            <w:pPr>
              <w:spacing w:after="0"/>
              <w:contextualSpacing/>
              <w:jc w:val="right"/>
              <w:rPr>
                <w:rFonts w:ascii="Century" w:hAnsi="Century"/>
                <w:sz w:val="20"/>
                <w:szCs w:val="20"/>
              </w:rPr>
            </w:pPr>
            <w:r w:rsidRPr="00A34C5F">
              <w:rPr>
                <w:rFonts w:ascii="Century" w:hAnsi="Century"/>
                <w:sz w:val="20"/>
                <w:szCs w:val="20"/>
              </w:rPr>
              <w:t>8,1</w:t>
            </w:r>
          </w:p>
        </w:tc>
        <w:tc>
          <w:tcPr>
            <w:tcW w:w="1019" w:type="dxa"/>
            <w:shd w:val="clear" w:color="auto" w:fill="F2F2F2"/>
            <w:vAlign w:val="center"/>
          </w:tcPr>
          <w:p w:rsidR="00133BC5" w:rsidRPr="00A34C5F" w:rsidRDefault="00133BC5" w:rsidP="00133BC5">
            <w:pPr>
              <w:spacing w:after="0"/>
              <w:contextualSpacing/>
              <w:jc w:val="right"/>
              <w:rPr>
                <w:rFonts w:ascii="Century" w:hAnsi="Century"/>
                <w:sz w:val="20"/>
                <w:szCs w:val="20"/>
              </w:rPr>
            </w:pPr>
            <w:r w:rsidRPr="00A34C5F">
              <w:rPr>
                <w:rFonts w:ascii="Century" w:hAnsi="Century"/>
                <w:sz w:val="20"/>
                <w:szCs w:val="20"/>
              </w:rPr>
              <w:t>115,2</w:t>
            </w:r>
          </w:p>
        </w:tc>
        <w:tc>
          <w:tcPr>
            <w:tcW w:w="1019" w:type="dxa"/>
            <w:shd w:val="clear" w:color="auto" w:fill="F2F2F2"/>
            <w:vAlign w:val="center"/>
          </w:tcPr>
          <w:p w:rsidR="00133BC5" w:rsidRPr="00A34C5F" w:rsidRDefault="00133BC5" w:rsidP="00133BC5">
            <w:pPr>
              <w:spacing w:after="0"/>
              <w:contextualSpacing/>
              <w:jc w:val="right"/>
              <w:rPr>
                <w:rFonts w:ascii="Century" w:hAnsi="Century"/>
                <w:sz w:val="20"/>
                <w:szCs w:val="20"/>
              </w:rPr>
            </w:pPr>
            <w:r w:rsidRPr="00A34C5F">
              <w:rPr>
                <w:rFonts w:ascii="Century" w:hAnsi="Century"/>
                <w:sz w:val="20"/>
                <w:szCs w:val="20"/>
              </w:rPr>
              <w:t>122,6</w:t>
            </w:r>
          </w:p>
        </w:tc>
      </w:tr>
      <w:tr w:rsidR="00133BC5" w:rsidRPr="00A34C5F" w:rsidTr="006A22F2">
        <w:trPr>
          <w:trHeight w:val="340"/>
        </w:trPr>
        <w:tc>
          <w:tcPr>
            <w:tcW w:w="5211" w:type="dxa"/>
            <w:vAlign w:val="center"/>
          </w:tcPr>
          <w:p w:rsidR="00133BC5" w:rsidRPr="00A34C5F" w:rsidRDefault="00133BC5" w:rsidP="00133BC5">
            <w:pPr>
              <w:spacing w:after="0"/>
              <w:contextualSpacing/>
              <w:rPr>
                <w:rFonts w:ascii="Century" w:hAnsi="Century"/>
                <w:b/>
                <w:bCs/>
                <w:sz w:val="20"/>
                <w:szCs w:val="20"/>
              </w:rPr>
            </w:pPr>
            <w:r w:rsidRPr="00A34C5F">
              <w:rPr>
                <w:rFonts w:ascii="Century" w:hAnsi="Century"/>
                <w:b/>
                <w:bCs/>
                <w:sz w:val="20"/>
                <w:szCs w:val="20"/>
              </w:rPr>
              <w:t>Расходы</w:t>
            </w:r>
          </w:p>
        </w:tc>
        <w:tc>
          <w:tcPr>
            <w:tcW w:w="1019" w:type="dxa"/>
            <w:vAlign w:val="center"/>
          </w:tcPr>
          <w:p w:rsidR="00133BC5" w:rsidRPr="00A34C5F" w:rsidRDefault="00133BC5" w:rsidP="00133BC5">
            <w:pPr>
              <w:spacing w:after="0"/>
              <w:contextualSpacing/>
              <w:jc w:val="right"/>
              <w:rPr>
                <w:rFonts w:ascii="Century" w:hAnsi="Century"/>
                <w:b/>
                <w:bCs/>
                <w:sz w:val="20"/>
                <w:szCs w:val="20"/>
              </w:rPr>
            </w:pPr>
            <w:r w:rsidRPr="00A34C5F">
              <w:rPr>
                <w:rFonts w:ascii="Century" w:hAnsi="Century"/>
                <w:b/>
                <w:bCs/>
                <w:sz w:val="20"/>
                <w:szCs w:val="20"/>
              </w:rPr>
              <w:t>1 994</w:t>
            </w:r>
          </w:p>
        </w:tc>
        <w:tc>
          <w:tcPr>
            <w:tcW w:w="1019" w:type="dxa"/>
            <w:vAlign w:val="center"/>
          </w:tcPr>
          <w:p w:rsidR="00133BC5" w:rsidRPr="00A34C5F" w:rsidRDefault="00133BC5" w:rsidP="00133BC5">
            <w:pPr>
              <w:spacing w:after="0"/>
              <w:contextualSpacing/>
              <w:jc w:val="right"/>
              <w:rPr>
                <w:rFonts w:ascii="Century" w:hAnsi="Century"/>
                <w:b/>
                <w:bCs/>
                <w:sz w:val="20"/>
                <w:szCs w:val="20"/>
              </w:rPr>
            </w:pPr>
            <w:r w:rsidRPr="00A34C5F">
              <w:rPr>
                <w:rFonts w:ascii="Century" w:hAnsi="Century"/>
                <w:b/>
                <w:bCs/>
                <w:sz w:val="20"/>
                <w:szCs w:val="20"/>
              </w:rPr>
              <w:t>2 082</w:t>
            </w:r>
          </w:p>
        </w:tc>
        <w:tc>
          <w:tcPr>
            <w:tcW w:w="1019" w:type="dxa"/>
            <w:vAlign w:val="center"/>
          </w:tcPr>
          <w:p w:rsidR="00133BC5" w:rsidRPr="00A34C5F" w:rsidRDefault="00133BC5" w:rsidP="00133BC5">
            <w:pPr>
              <w:spacing w:after="0"/>
              <w:contextualSpacing/>
              <w:jc w:val="right"/>
              <w:rPr>
                <w:rFonts w:ascii="Century" w:hAnsi="Century"/>
                <w:b/>
                <w:bCs/>
                <w:sz w:val="20"/>
                <w:szCs w:val="20"/>
              </w:rPr>
            </w:pPr>
            <w:r w:rsidRPr="00A34C5F">
              <w:rPr>
                <w:rFonts w:ascii="Century" w:hAnsi="Century"/>
                <w:b/>
                <w:bCs/>
                <w:sz w:val="20"/>
                <w:szCs w:val="20"/>
              </w:rPr>
              <w:t>2 173</w:t>
            </w:r>
          </w:p>
        </w:tc>
        <w:tc>
          <w:tcPr>
            <w:tcW w:w="1019" w:type="dxa"/>
            <w:vAlign w:val="center"/>
          </w:tcPr>
          <w:p w:rsidR="00133BC5" w:rsidRPr="00A34C5F" w:rsidRDefault="00133BC5" w:rsidP="00133BC5">
            <w:pPr>
              <w:spacing w:after="0"/>
              <w:contextualSpacing/>
              <w:jc w:val="right"/>
              <w:rPr>
                <w:rFonts w:ascii="Century" w:hAnsi="Century"/>
                <w:b/>
                <w:bCs/>
                <w:sz w:val="20"/>
                <w:szCs w:val="20"/>
              </w:rPr>
            </w:pPr>
            <w:r w:rsidRPr="00A34C5F">
              <w:rPr>
                <w:rFonts w:ascii="Century" w:hAnsi="Century"/>
                <w:b/>
                <w:bCs/>
                <w:sz w:val="20"/>
                <w:szCs w:val="20"/>
              </w:rPr>
              <w:t>2 284</w:t>
            </w:r>
          </w:p>
        </w:tc>
      </w:tr>
      <w:tr w:rsidR="00133BC5" w:rsidRPr="00A34C5F" w:rsidTr="006A22F2">
        <w:trPr>
          <w:trHeight w:val="340"/>
        </w:trPr>
        <w:tc>
          <w:tcPr>
            <w:tcW w:w="5211" w:type="dxa"/>
            <w:tcBorders>
              <w:top w:val="nil"/>
              <w:left w:val="nil"/>
              <w:bottom w:val="single" w:sz="4" w:space="0" w:color="auto"/>
              <w:right w:val="nil"/>
            </w:tcBorders>
            <w:shd w:val="clear" w:color="auto" w:fill="F2F2F2"/>
            <w:vAlign w:val="center"/>
          </w:tcPr>
          <w:p w:rsidR="00133BC5" w:rsidRPr="00A34C5F" w:rsidRDefault="00133BC5" w:rsidP="00133BC5">
            <w:pPr>
              <w:spacing w:after="0"/>
              <w:contextualSpacing/>
              <w:rPr>
                <w:rFonts w:ascii="Century" w:hAnsi="Century"/>
                <w:b/>
                <w:bCs/>
                <w:iCs/>
                <w:sz w:val="20"/>
                <w:szCs w:val="20"/>
                <w:lang w:eastAsia="ru-RU"/>
              </w:rPr>
            </w:pPr>
            <w:r w:rsidRPr="00A34C5F">
              <w:rPr>
                <w:rFonts w:ascii="Century" w:hAnsi="Century"/>
                <w:b/>
                <w:bCs/>
                <w:sz w:val="20"/>
                <w:szCs w:val="20"/>
              </w:rPr>
              <w:t>Дефицит/профицит</w:t>
            </w:r>
          </w:p>
        </w:tc>
        <w:tc>
          <w:tcPr>
            <w:tcW w:w="1019" w:type="dxa"/>
            <w:tcBorders>
              <w:top w:val="nil"/>
              <w:left w:val="nil"/>
              <w:bottom w:val="single" w:sz="4" w:space="0" w:color="auto"/>
              <w:right w:val="nil"/>
            </w:tcBorders>
            <w:shd w:val="clear" w:color="auto" w:fill="F2F2F2"/>
            <w:vAlign w:val="center"/>
          </w:tcPr>
          <w:p w:rsidR="00133BC5" w:rsidRPr="00A34C5F" w:rsidRDefault="00133BC5" w:rsidP="00133BC5">
            <w:pPr>
              <w:spacing w:after="0"/>
              <w:contextualSpacing/>
              <w:jc w:val="right"/>
              <w:rPr>
                <w:rFonts w:ascii="Century" w:hAnsi="Century"/>
                <w:b/>
                <w:bCs/>
                <w:sz w:val="20"/>
                <w:szCs w:val="20"/>
              </w:rPr>
            </w:pPr>
            <w:r w:rsidRPr="00A34C5F">
              <w:rPr>
                <w:rFonts w:ascii="Century" w:hAnsi="Century"/>
                <w:b/>
                <w:bCs/>
                <w:sz w:val="20"/>
                <w:szCs w:val="20"/>
              </w:rPr>
              <w:t>-106,3</w:t>
            </w:r>
          </w:p>
        </w:tc>
        <w:tc>
          <w:tcPr>
            <w:tcW w:w="1019" w:type="dxa"/>
            <w:tcBorders>
              <w:top w:val="nil"/>
              <w:left w:val="nil"/>
              <w:bottom w:val="single" w:sz="4" w:space="0" w:color="auto"/>
              <w:right w:val="nil"/>
            </w:tcBorders>
            <w:shd w:val="clear" w:color="auto" w:fill="F2F2F2"/>
            <w:vAlign w:val="center"/>
          </w:tcPr>
          <w:p w:rsidR="00133BC5" w:rsidRPr="00A34C5F" w:rsidRDefault="00133BC5" w:rsidP="00133BC5">
            <w:pPr>
              <w:spacing w:after="0"/>
              <w:contextualSpacing/>
              <w:jc w:val="right"/>
              <w:rPr>
                <w:rFonts w:ascii="Century" w:hAnsi="Century"/>
                <w:b/>
                <w:bCs/>
                <w:sz w:val="20"/>
                <w:szCs w:val="20"/>
              </w:rPr>
            </w:pPr>
            <w:r w:rsidRPr="00A34C5F">
              <w:rPr>
                <w:rFonts w:ascii="Century" w:hAnsi="Century"/>
                <w:b/>
                <w:bCs/>
                <w:sz w:val="20"/>
                <w:szCs w:val="20"/>
              </w:rPr>
              <w:t>-84,6</w:t>
            </w:r>
          </w:p>
        </w:tc>
        <w:tc>
          <w:tcPr>
            <w:tcW w:w="1019" w:type="dxa"/>
            <w:tcBorders>
              <w:top w:val="nil"/>
              <w:left w:val="nil"/>
              <w:bottom w:val="single" w:sz="4" w:space="0" w:color="auto"/>
              <w:right w:val="nil"/>
            </w:tcBorders>
            <w:shd w:val="clear" w:color="auto" w:fill="F2F2F2"/>
            <w:vAlign w:val="center"/>
          </w:tcPr>
          <w:p w:rsidR="00133BC5" w:rsidRPr="00A34C5F" w:rsidRDefault="00133BC5" w:rsidP="00133BC5">
            <w:pPr>
              <w:spacing w:after="0"/>
              <w:contextualSpacing/>
              <w:jc w:val="right"/>
              <w:rPr>
                <w:rFonts w:ascii="Century" w:hAnsi="Century"/>
                <w:b/>
                <w:bCs/>
                <w:sz w:val="20"/>
                <w:szCs w:val="20"/>
              </w:rPr>
            </w:pPr>
            <w:r w:rsidRPr="00A34C5F">
              <w:rPr>
                <w:rFonts w:ascii="Century" w:hAnsi="Century"/>
                <w:b/>
                <w:bCs/>
                <w:sz w:val="20"/>
                <w:szCs w:val="20"/>
              </w:rPr>
              <w:t>-2,2</w:t>
            </w:r>
          </w:p>
        </w:tc>
        <w:tc>
          <w:tcPr>
            <w:tcW w:w="1019" w:type="dxa"/>
            <w:tcBorders>
              <w:top w:val="nil"/>
              <w:left w:val="nil"/>
              <w:bottom w:val="single" w:sz="4" w:space="0" w:color="auto"/>
              <w:right w:val="nil"/>
            </w:tcBorders>
            <w:shd w:val="clear" w:color="auto" w:fill="F2F2F2"/>
            <w:vAlign w:val="center"/>
          </w:tcPr>
          <w:p w:rsidR="00133BC5" w:rsidRPr="00A34C5F" w:rsidRDefault="00133BC5" w:rsidP="00133BC5">
            <w:pPr>
              <w:spacing w:after="0"/>
              <w:contextualSpacing/>
              <w:jc w:val="right"/>
              <w:rPr>
                <w:rFonts w:ascii="Century" w:hAnsi="Century"/>
                <w:b/>
                <w:bCs/>
                <w:sz w:val="20"/>
                <w:szCs w:val="20"/>
              </w:rPr>
            </w:pPr>
            <w:r w:rsidRPr="00A34C5F">
              <w:rPr>
                <w:rFonts w:ascii="Century" w:hAnsi="Century"/>
                <w:b/>
                <w:bCs/>
                <w:sz w:val="20"/>
                <w:szCs w:val="20"/>
              </w:rPr>
              <w:t>0,0</w:t>
            </w:r>
          </w:p>
        </w:tc>
      </w:tr>
    </w:tbl>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Источниками покрытия дефицита бюджета Федерального фонда обязательного медицинского страхования в 2018-2020 годах являются остатки на начало года.</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b/>
          <w:sz w:val="24"/>
          <w:szCs w:val="28"/>
        </w:rPr>
        <w:t>Расходы</w:t>
      </w:r>
      <w:r w:rsidRPr="006A22F2">
        <w:rPr>
          <w:rFonts w:ascii="Times New Roman" w:hAnsi="Times New Roman"/>
          <w:sz w:val="24"/>
          <w:szCs w:val="28"/>
        </w:rPr>
        <w:t xml:space="preserve"> бюджета Федерального фонда обязательного медицинского страхования и территориальных фондов обязательного медицинского страхования прогнозируются с учетом:</w:t>
      </w:r>
    </w:p>
    <w:p w:rsidR="00133BC5" w:rsidRPr="006A22F2" w:rsidRDefault="00133BC5" w:rsidP="006A22F2">
      <w:pPr>
        <w:pStyle w:val="aa"/>
        <w:numPr>
          <w:ilvl w:val="0"/>
          <w:numId w:val="7"/>
        </w:numPr>
        <w:spacing w:after="120"/>
        <w:ind w:left="357" w:hanging="357"/>
        <w:contextualSpacing w:val="0"/>
        <w:jc w:val="both"/>
        <w:rPr>
          <w:rFonts w:ascii="Times New Roman" w:hAnsi="Times New Roman"/>
          <w:sz w:val="24"/>
          <w:szCs w:val="28"/>
        </w:rPr>
      </w:pPr>
      <w:r w:rsidRPr="006A22F2">
        <w:rPr>
          <w:rFonts w:ascii="Times New Roman" w:hAnsi="Times New Roman"/>
          <w:sz w:val="24"/>
          <w:szCs w:val="28"/>
        </w:rPr>
        <w:t>увеличения подушевого норматива финансового обеспечения базовой программы обязательного медицинского страхования в 2019 году на 4,8% к уровню 2018 года, в 2020 году на 4,7% к уровню 2019 года, в 2021 году на 5,4% к уровню 2020 года.</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В целях безусловного достижения показателей, установленных в Указе Президента Российской Федерации от 7 мая 2012 г. № 597 «О мероприятиях по реализации государственной социальной политики» планируется увеличение расходов на фонд оплаты труда. В 2019 и 2020 годах темп роста составит 5%, в 2021 году – 6%.</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Также увеличиваются расходы Федерального фонда обязательного медицинского страхования по разделу «прочие расходы», что обусловлено индексирования этих расходов на темп роста уровня инфляции (4%).</w:t>
      </w:r>
    </w:p>
    <w:p w:rsidR="00133BC5" w:rsidRPr="006A22F2" w:rsidRDefault="00133BC5" w:rsidP="006A22F2">
      <w:pPr>
        <w:spacing w:after="120"/>
        <w:jc w:val="both"/>
        <w:rPr>
          <w:rFonts w:ascii="Times New Roman" w:hAnsi="Times New Roman"/>
          <w:sz w:val="24"/>
          <w:szCs w:val="28"/>
        </w:rPr>
      </w:pPr>
      <w:r w:rsidRPr="006A22F2">
        <w:rPr>
          <w:rFonts w:ascii="Times New Roman" w:hAnsi="Times New Roman"/>
          <w:sz w:val="24"/>
          <w:szCs w:val="28"/>
        </w:rPr>
        <w:t xml:space="preserve">Объем межбюджетных трансфертов из Федерального фонда обязательного медицинского страхования в бюджеты территориальных фондов обязательного медицинского страхования составит: </w:t>
      </w:r>
    </w:p>
    <w:p w:rsidR="00133BC5" w:rsidRPr="006A22F2" w:rsidRDefault="00133BC5" w:rsidP="006A22F2">
      <w:pPr>
        <w:pStyle w:val="aa"/>
        <w:numPr>
          <w:ilvl w:val="0"/>
          <w:numId w:val="6"/>
        </w:numPr>
        <w:spacing w:after="120"/>
        <w:contextualSpacing w:val="0"/>
        <w:jc w:val="both"/>
        <w:rPr>
          <w:rFonts w:ascii="Times New Roman" w:hAnsi="Times New Roman"/>
          <w:sz w:val="24"/>
          <w:szCs w:val="28"/>
        </w:rPr>
      </w:pPr>
      <w:r w:rsidRPr="006A22F2">
        <w:rPr>
          <w:rFonts w:ascii="Times New Roman" w:hAnsi="Times New Roman"/>
          <w:sz w:val="24"/>
          <w:szCs w:val="28"/>
        </w:rPr>
        <w:t>в 2019 году – 1 960,7 млрд. рублей, с увеличением на 4,8% к уровню 2018 года;</w:t>
      </w:r>
    </w:p>
    <w:p w:rsidR="00133BC5" w:rsidRPr="006A22F2" w:rsidRDefault="00133BC5" w:rsidP="006A22F2">
      <w:pPr>
        <w:pStyle w:val="aa"/>
        <w:numPr>
          <w:ilvl w:val="0"/>
          <w:numId w:val="6"/>
        </w:numPr>
        <w:spacing w:after="120"/>
        <w:contextualSpacing w:val="0"/>
        <w:jc w:val="both"/>
        <w:rPr>
          <w:rFonts w:ascii="Times New Roman" w:hAnsi="Times New Roman"/>
          <w:sz w:val="24"/>
          <w:szCs w:val="28"/>
        </w:rPr>
      </w:pPr>
      <w:r w:rsidRPr="006A22F2">
        <w:rPr>
          <w:rFonts w:ascii="Times New Roman" w:hAnsi="Times New Roman"/>
          <w:sz w:val="24"/>
          <w:szCs w:val="28"/>
        </w:rPr>
        <w:t>в 2020 году – 2 052,4 млрд. рублей, с увеличением на 4,7% к уровню 2019 года.</w:t>
      </w:r>
    </w:p>
    <w:p w:rsidR="00133BC5" w:rsidRPr="006A22F2" w:rsidRDefault="00133BC5" w:rsidP="006A22F2">
      <w:pPr>
        <w:pStyle w:val="aa"/>
        <w:numPr>
          <w:ilvl w:val="0"/>
          <w:numId w:val="6"/>
        </w:numPr>
        <w:spacing w:after="120"/>
        <w:contextualSpacing w:val="0"/>
        <w:jc w:val="both"/>
        <w:rPr>
          <w:rFonts w:ascii="Times New Roman" w:hAnsi="Times New Roman"/>
          <w:sz w:val="24"/>
          <w:szCs w:val="28"/>
        </w:rPr>
      </w:pPr>
      <w:r w:rsidRPr="006A22F2">
        <w:rPr>
          <w:rFonts w:ascii="Times New Roman" w:hAnsi="Times New Roman"/>
          <w:sz w:val="24"/>
          <w:szCs w:val="28"/>
        </w:rPr>
        <w:t>в 2021 году – 2 163,6млрд. рублей, с увеличением на 5,4% к уровню 2020 года;</w:t>
      </w:r>
    </w:p>
    <w:p w:rsidR="00133BC5" w:rsidRPr="006A22F2" w:rsidRDefault="00133BC5" w:rsidP="006A22F2">
      <w:pPr>
        <w:spacing w:after="120"/>
        <w:jc w:val="both"/>
        <w:rPr>
          <w:rFonts w:ascii="Times New Roman" w:hAnsi="Times New Roman"/>
          <w:sz w:val="24"/>
        </w:rPr>
      </w:pPr>
      <w:r w:rsidRPr="006A22F2">
        <w:rPr>
          <w:rFonts w:ascii="Times New Roman" w:hAnsi="Times New Roman"/>
          <w:sz w:val="24"/>
          <w:szCs w:val="28"/>
        </w:rPr>
        <w:t xml:space="preserve">Указанные средства обеспечат </w:t>
      </w:r>
      <w:r w:rsidRPr="006A22F2">
        <w:rPr>
          <w:rFonts w:ascii="Times New Roman" w:hAnsi="Times New Roman"/>
          <w:sz w:val="24"/>
        </w:rPr>
        <w:t xml:space="preserve">сбалансированность территориальных программ </w:t>
      </w:r>
      <w:r w:rsidRPr="006A22F2">
        <w:rPr>
          <w:rFonts w:ascii="Times New Roman" w:hAnsi="Times New Roman"/>
          <w:sz w:val="24"/>
          <w:szCs w:val="28"/>
        </w:rPr>
        <w:t>обязательного медицинского страхования</w:t>
      </w:r>
      <w:r w:rsidRPr="006A22F2">
        <w:rPr>
          <w:rFonts w:ascii="Times New Roman" w:hAnsi="Times New Roman"/>
          <w:sz w:val="24"/>
        </w:rPr>
        <w:t xml:space="preserve"> в рамках базовой программы обязательного медицинского страхования на весь трехлетний период и оплату медицинской помощи в соответствии с установленными финансовыми нормативами с учетом повышения </w:t>
      </w:r>
      <w:r w:rsidRPr="006A22F2">
        <w:rPr>
          <w:rFonts w:ascii="Times New Roman" w:hAnsi="Times New Roman"/>
          <w:sz w:val="24"/>
        </w:rPr>
        <w:lastRenderedPageBreak/>
        <w:t xml:space="preserve">оплаты труда медицинских работников в соответствии с Указом Президента </w:t>
      </w:r>
      <w:r w:rsidRPr="006A22F2">
        <w:rPr>
          <w:rFonts w:ascii="Times New Roman" w:hAnsi="Times New Roman"/>
          <w:sz w:val="24"/>
          <w:szCs w:val="28"/>
          <w:lang w:eastAsia="ru-RU"/>
        </w:rPr>
        <w:t>Российской Федерации от 7 мая 2012 г. № 597 «О мероприятиях по реализации государственной социальной политики»</w:t>
      </w:r>
      <w:r w:rsidRPr="006A22F2">
        <w:rPr>
          <w:rFonts w:ascii="Times New Roman" w:hAnsi="Times New Roman"/>
          <w:sz w:val="24"/>
        </w:rPr>
        <w:t>.</w:t>
      </w:r>
    </w:p>
    <w:p w:rsidR="00133BC5" w:rsidRPr="006A22F2" w:rsidRDefault="00133BC5" w:rsidP="006A22F2">
      <w:pPr>
        <w:spacing w:after="120"/>
        <w:jc w:val="both"/>
        <w:rPr>
          <w:rFonts w:ascii="Times New Roman" w:hAnsi="Times New Roman"/>
          <w:sz w:val="24"/>
        </w:rPr>
      </w:pPr>
      <w:r w:rsidRPr="006A22F2">
        <w:rPr>
          <w:rFonts w:ascii="Times New Roman" w:hAnsi="Times New Roman"/>
          <w:sz w:val="24"/>
        </w:rPr>
        <w:t>Также планируется продолжить осуществлять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федеральными государственными учреждениями, путем доведения средств напрямую из бюджета Федерального фонда обязательного медицинского страхования до федеральных государственных учреждений. Уровень финансирования высокотехнологичной медицинской помощи в планируемом трехлетнем периоде будет оставаться стабильным.</w:t>
      </w:r>
    </w:p>
    <w:p w:rsidR="00133BC5" w:rsidRPr="00920E8A" w:rsidRDefault="00133BC5" w:rsidP="00133BC5">
      <w:pPr>
        <w:pStyle w:val="20"/>
        <w:numPr>
          <w:ilvl w:val="1"/>
          <w:numId w:val="3"/>
        </w:numPr>
        <w:spacing w:before="240" w:after="240"/>
        <w:rPr>
          <w:rFonts w:ascii="Times New Roman" w:hAnsi="Times New Roman"/>
          <w:sz w:val="28"/>
          <w:szCs w:val="28"/>
        </w:rPr>
      </w:pPr>
      <w:bookmarkStart w:id="32" w:name="_Toc463478163"/>
      <w:bookmarkStart w:id="33" w:name="_Toc486933333"/>
      <w:bookmarkStart w:id="34" w:name="_Toc518648662"/>
      <w:r w:rsidRPr="00920E8A">
        <w:rPr>
          <w:rFonts w:ascii="Times New Roman" w:hAnsi="Times New Roman"/>
          <w:sz w:val="28"/>
          <w:szCs w:val="28"/>
        </w:rPr>
        <w:t>БЮДЖЕТЫ БЮДЖЕТНОЙ СИСТЕМЫ</w:t>
      </w:r>
      <w:bookmarkEnd w:id="32"/>
      <w:bookmarkEnd w:id="33"/>
      <w:bookmarkEnd w:id="34"/>
    </w:p>
    <w:p w:rsidR="00133BC5" w:rsidRPr="006A22F2" w:rsidRDefault="00133BC5" w:rsidP="006A22F2">
      <w:pPr>
        <w:spacing w:after="120"/>
        <w:jc w:val="both"/>
        <w:rPr>
          <w:rFonts w:ascii="Times New Roman" w:hAnsi="Times New Roman"/>
          <w:sz w:val="24"/>
          <w:highlight w:val="yellow"/>
        </w:rPr>
      </w:pPr>
      <w:r w:rsidRPr="006A22F2">
        <w:rPr>
          <w:rFonts w:ascii="Times New Roman" w:hAnsi="Times New Roman"/>
          <w:sz w:val="24"/>
        </w:rPr>
        <w:t>Динамика основных параметров бюджетной системы Российской Федерации в 2019-2021 годах характеризуется снижением доходов и расходов по отношению к ВВП при снижении уровня дефицита с 1,7% ВВП в 2019 году до 0,5% ВВП к 2021 году.</w:t>
      </w:r>
    </w:p>
    <w:p w:rsidR="00133BC5" w:rsidRPr="006A22F2" w:rsidRDefault="00133BC5" w:rsidP="006A22F2">
      <w:pPr>
        <w:spacing w:after="120"/>
        <w:jc w:val="both"/>
        <w:rPr>
          <w:rFonts w:ascii="Times New Roman" w:hAnsi="Times New Roman"/>
          <w:sz w:val="24"/>
        </w:rPr>
      </w:pPr>
      <w:r w:rsidRPr="006A22F2">
        <w:rPr>
          <w:rFonts w:ascii="Times New Roman" w:hAnsi="Times New Roman"/>
          <w:b/>
          <w:sz w:val="24"/>
        </w:rPr>
        <w:t>Таблица 4.4.1.</w:t>
      </w:r>
      <w:r w:rsidRPr="006A22F2">
        <w:rPr>
          <w:rFonts w:ascii="Times New Roman" w:hAnsi="Times New Roman"/>
          <w:sz w:val="24"/>
        </w:rPr>
        <w:t xml:space="preserve"> Основные параметры бюджетов бюджетной системы в 2018-2021 гг.</w:t>
      </w:r>
    </w:p>
    <w:p w:rsidR="00133BC5" w:rsidRPr="006A22F2" w:rsidRDefault="00133BC5" w:rsidP="00133BC5">
      <w:pPr>
        <w:jc w:val="right"/>
        <w:rPr>
          <w:rFonts w:ascii="Times New Roman" w:hAnsi="Times New Roman"/>
          <w:i/>
        </w:rPr>
      </w:pPr>
      <w:r w:rsidRPr="006A22F2">
        <w:rPr>
          <w:rFonts w:ascii="Times New Roman" w:hAnsi="Times New Roman"/>
          <w:i/>
        </w:rPr>
        <w:t>млрд рублей</w:t>
      </w:r>
    </w:p>
    <w:tbl>
      <w:tblPr>
        <w:tblW w:w="9463" w:type="dxa"/>
        <w:tblLayout w:type="fixed"/>
        <w:tblLook w:val="00A0" w:firstRow="1" w:lastRow="0" w:firstColumn="1" w:lastColumn="0" w:noHBand="0" w:noVBand="0"/>
      </w:tblPr>
      <w:tblGrid>
        <w:gridCol w:w="5495"/>
        <w:gridCol w:w="992"/>
        <w:gridCol w:w="992"/>
        <w:gridCol w:w="992"/>
        <w:gridCol w:w="992"/>
      </w:tblGrid>
      <w:tr w:rsidR="00133BC5" w:rsidRPr="00920E8A" w:rsidTr="006A22F2">
        <w:trPr>
          <w:trHeight w:val="340"/>
        </w:trPr>
        <w:tc>
          <w:tcPr>
            <w:tcW w:w="5495" w:type="dxa"/>
            <w:tcBorders>
              <w:bottom w:val="single" w:sz="4" w:space="0" w:color="auto"/>
            </w:tcBorders>
          </w:tcPr>
          <w:p w:rsidR="00133BC5" w:rsidRPr="006A22F2" w:rsidRDefault="00133BC5" w:rsidP="00133BC5">
            <w:pPr>
              <w:spacing w:after="0"/>
              <w:contextualSpacing/>
              <w:rPr>
                <w:rFonts w:ascii="Century" w:hAnsi="Century"/>
                <w:b/>
                <w:bCs/>
              </w:rPr>
            </w:pPr>
            <w:r w:rsidRPr="006A22F2">
              <w:rPr>
                <w:rFonts w:ascii="Century" w:hAnsi="Century"/>
                <w:b/>
                <w:bCs/>
              </w:rPr>
              <w:t>Показатель</w:t>
            </w:r>
          </w:p>
        </w:tc>
        <w:tc>
          <w:tcPr>
            <w:tcW w:w="992" w:type="dxa"/>
            <w:tcBorders>
              <w:bottom w:val="single" w:sz="4" w:space="0" w:color="auto"/>
            </w:tcBorders>
            <w:vAlign w:val="center"/>
          </w:tcPr>
          <w:p w:rsidR="00133BC5" w:rsidRPr="006A22F2" w:rsidRDefault="00133BC5" w:rsidP="00133BC5">
            <w:pPr>
              <w:spacing w:after="0"/>
              <w:contextualSpacing/>
              <w:jc w:val="center"/>
              <w:rPr>
                <w:rFonts w:ascii="Century" w:hAnsi="Century"/>
                <w:b/>
                <w:bCs/>
              </w:rPr>
            </w:pPr>
            <w:r w:rsidRPr="006A22F2">
              <w:rPr>
                <w:rFonts w:ascii="Century" w:hAnsi="Century"/>
                <w:b/>
                <w:bCs/>
              </w:rPr>
              <w:t>2018</w:t>
            </w:r>
          </w:p>
        </w:tc>
        <w:tc>
          <w:tcPr>
            <w:tcW w:w="992" w:type="dxa"/>
            <w:tcBorders>
              <w:bottom w:val="single" w:sz="4" w:space="0" w:color="auto"/>
            </w:tcBorders>
            <w:vAlign w:val="center"/>
          </w:tcPr>
          <w:p w:rsidR="00133BC5" w:rsidRPr="006A22F2" w:rsidRDefault="00133BC5" w:rsidP="00133BC5">
            <w:pPr>
              <w:spacing w:after="0"/>
              <w:contextualSpacing/>
              <w:jc w:val="center"/>
              <w:rPr>
                <w:rFonts w:ascii="Century" w:hAnsi="Century"/>
                <w:b/>
                <w:bCs/>
              </w:rPr>
            </w:pPr>
            <w:r w:rsidRPr="006A22F2">
              <w:rPr>
                <w:rFonts w:ascii="Century" w:hAnsi="Century"/>
                <w:b/>
                <w:bCs/>
              </w:rPr>
              <w:t>2019</w:t>
            </w:r>
          </w:p>
        </w:tc>
        <w:tc>
          <w:tcPr>
            <w:tcW w:w="992" w:type="dxa"/>
            <w:tcBorders>
              <w:bottom w:val="single" w:sz="4" w:space="0" w:color="auto"/>
            </w:tcBorders>
            <w:vAlign w:val="center"/>
          </w:tcPr>
          <w:p w:rsidR="00133BC5" w:rsidRPr="006A22F2" w:rsidRDefault="00133BC5" w:rsidP="00133BC5">
            <w:pPr>
              <w:spacing w:after="0"/>
              <w:contextualSpacing/>
              <w:jc w:val="center"/>
              <w:rPr>
                <w:rFonts w:ascii="Century" w:hAnsi="Century"/>
                <w:b/>
                <w:bCs/>
              </w:rPr>
            </w:pPr>
            <w:r w:rsidRPr="006A22F2">
              <w:rPr>
                <w:rFonts w:ascii="Century" w:hAnsi="Century"/>
                <w:b/>
                <w:bCs/>
              </w:rPr>
              <w:t>2020</w:t>
            </w:r>
          </w:p>
        </w:tc>
        <w:tc>
          <w:tcPr>
            <w:tcW w:w="992" w:type="dxa"/>
            <w:tcBorders>
              <w:bottom w:val="single" w:sz="4" w:space="0" w:color="auto"/>
            </w:tcBorders>
            <w:vAlign w:val="center"/>
          </w:tcPr>
          <w:p w:rsidR="00133BC5" w:rsidRPr="006A22F2" w:rsidRDefault="00133BC5" w:rsidP="00133BC5">
            <w:pPr>
              <w:spacing w:after="0"/>
              <w:contextualSpacing/>
              <w:jc w:val="center"/>
              <w:rPr>
                <w:rFonts w:ascii="Century" w:hAnsi="Century"/>
                <w:b/>
                <w:bCs/>
              </w:rPr>
            </w:pPr>
            <w:r w:rsidRPr="006A22F2">
              <w:rPr>
                <w:rFonts w:ascii="Century" w:hAnsi="Century"/>
                <w:b/>
                <w:bCs/>
              </w:rPr>
              <w:t>2021</w:t>
            </w:r>
          </w:p>
        </w:tc>
      </w:tr>
      <w:tr w:rsidR="00133BC5" w:rsidRPr="00920E8A" w:rsidTr="006A22F2">
        <w:trPr>
          <w:trHeight w:val="340"/>
        </w:trPr>
        <w:tc>
          <w:tcPr>
            <w:tcW w:w="5495" w:type="dxa"/>
            <w:tcBorders>
              <w:top w:val="single" w:sz="4" w:space="0" w:color="auto"/>
            </w:tcBorders>
            <w:shd w:val="clear" w:color="auto" w:fill="F2F2F2"/>
            <w:vAlign w:val="center"/>
          </w:tcPr>
          <w:p w:rsidR="00133BC5" w:rsidRPr="00704D8F" w:rsidRDefault="00133BC5" w:rsidP="00133BC5">
            <w:pPr>
              <w:spacing w:after="0"/>
              <w:contextualSpacing/>
              <w:rPr>
                <w:rFonts w:ascii="Century" w:hAnsi="Century"/>
                <w:b/>
                <w:bCs/>
                <w:sz w:val="20"/>
                <w:szCs w:val="20"/>
              </w:rPr>
            </w:pPr>
            <w:r w:rsidRPr="00704D8F">
              <w:rPr>
                <w:rFonts w:ascii="Century" w:hAnsi="Century"/>
                <w:b/>
                <w:sz w:val="20"/>
                <w:szCs w:val="20"/>
              </w:rPr>
              <w:t>Доходы, всего</w:t>
            </w:r>
          </w:p>
        </w:tc>
        <w:tc>
          <w:tcPr>
            <w:tcW w:w="992" w:type="dxa"/>
            <w:tcBorders>
              <w:top w:val="single" w:sz="4" w:space="0" w:color="auto"/>
            </w:tcBorders>
            <w:shd w:val="clear" w:color="auto" w:fill="F2F2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34 318</w:t>
            </w:r>
          </w:p>
        </w:tc>
        <w:tc>
          <w:tcPr>
            <w:tcW w:w="992" w:type="dxa"/>
            <w:tcBorders>
              <w:top w:val="single" w:sz="4" w:space="0" w:color="auto"/>
            </w:tcBorders>
            <w:shd w:val="clear" w:color="auto" w:fill="F2F2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38 034</w:t>
            </w:r>
          </w:p>
        </w:tc>
        <w:tc>
          <w:tcPr>
            <w:tcW w:w="992" w:type="dxa"/>
            <w:tcBorders>
              <w:top w:val="single" w:sz="4" w:space="0" w:color="auto"/>
            </w:tcBorders>
            <w:shd w:val="clear" w:color="auto" w:fill="F2F2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39 179</w:t>
            </w:r>
          </w:p>
        </w:tc>
        <w:tc>
          <w:tcPr>
            <w:tcW w:w="992" w:type="dxa"/>
            <w:tcBorders>
              <w:top w:val="single" w:sz="4" w:space="0" w:color="auto"/>
            </w:tcBorders>
            <w:shd w:val="clear" w:color="auto" w:fill="F2F2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40 987</w:t>
            </w:r>
          </w:p>
        </w:tc>
      </w:tr>
      <w:tr w:rsidR="00133BC5" w:rsidRPr="00920E8A" w:rsidTr="006A22F2">
        <w:trPr>
          <w:trHeight w:val="340"/>
        </w:trPr>
        <w:tc>
          <w:tcPr>
            <w:tcW w:w="5495" w:type="dxa"/>
            <w:vAlign w:val="center"/>
          </w:tcPr>
          <w:p w:rsidR="00133BC5" w:rsidRPr="00704D8F" w:rsidRDefault="00133BC5" w:rsidP="00133BC5">
            <w:pPr>
              <w:spacing w:after="0"/>
              <w:contextualSpacing/>
              <w:rPr>
                <w:rFonts w:ascii="Century" w:hAnsi="Century"/>
                <w:b/>
                <w:bCs/>
                <w:i/>
                <w:iCs/>
                <w:sz w:val="20"/>
                <w:szCs w:val="20"/>
                <w:lang w:eastAsia="ru-RU"/>
              </w:rPr>
            </w:pPr>
            <w:r w:rsidRPr="00704D8F">
              <w:rPr>
                <w:rFonts w:ascii="Century" w:hAnsi="Century"/>
                <w:bCs/>
                <w:i/>
                <w:iCs/>
                <w:sz w:val="20"/>
                <w:szCs w:val="20"/>
                <w:lang w:eastAsia="ru-RU"/>
              </w:rPr>
              <w:t>%% ВВП</w:t>
            </w:r>
          </w:p>
        </w:tc>
        <w:tc>
          <w:tcPr>
            <w:tcW w:w="992" w:type="dxa"/>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34,1</w:t>
            </w:r>
          </w:p>
        </w:tc>
        <w:tc>
          <w:tcPr>
            <w:tcW w:w="992" w:type="dxa"/>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35,8</w:t>
            </w:r>
          </w:p>
        </w:tc>
        <w:tc>
          <w:tcPr>
            <w:tcW w:w="992" w:type="dxa"/>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35,1</w:t>
            </w:r>
          </w:p>
        </w:tc>
        <w:tc>
          <w:tcPr>
            <w:tcW w:w="992" w:type="dxa"/>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34,3</w:t>
            </w:r>
          </w:p>
        </w:tc>
      </w:tr>
      <w:tr w:rsidR="00133BC5" w:rsidRPr="00920E8A" w:rsidTr="006A22F2">
        <w:trPr>
          <w:trHeight w:val="340"/>
        </w:trPr>
        <w:tc>
          <w:tcPr>
            <w:tcW w:w="5495" w:type="dxa"/>
            <w:shd w:val="clear" w:color="auto" w:fill="F2F2F2"/>
            <w:vAlign w:val="center"/>
          </w:tcPr>
          <w:p w:rsidR="00133BC5" w:rsidRPr="00704D8F" w:rsidRDefault="00133BC5" w:rsidP="00133BC5">
            <w:pPr>
              <w:spacing w:after="0"/>
              <w:contextualSpacing/>
              <w:rPr>
                <w:rFonts w:ascii="Century" w:hAnsi="Century"/>
                <w:b/>
                <w:bCs/>
                <w:sz w:val="20"/>
                <w:szCs w:val="20"/>
                <w:u w:val="single"/>
              </w:rPr>
            </w:pPr>
            <w:r w:rsidRPr="00704D8F">
              <w:rPr>
                <w:rFonts w:ascii="Century" w:hAnsi="Century"/>
                <w:bCs/>
                <w:sz w:val="20"/>
                <w:szCs w:val="20"/>
              </w:rPr>
              <w:t>Федеральный бюджет</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17 073</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19 851</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20 026</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20 549</w:t>
            </w:r>
          </w:p>
        </w:tc>
      </w:tr>
      <w:tr w:rsidR="00133BC5" w:rsidRPr="00920E8A" w:rsidTr="006A22F2">
        <w:trPr>
          <w:trHeight w:val="340"/>
        </w:trPr>
        <w:tc>
          <w:tcPr>
            <w:tcW w:w="5495" w:type="dxa"/>
            <w:vAlign w:val="center"/>
          </w:tcPr>
          <w:p w:rsidR="00133BC5" w:rsidRPr="00704D8F" w:rsidRDefault="00133BC5" w:rsidP="00133BC5">
            <w:pPr>
              <w:spacing w:after="0"/>
              <w:ind w:left="176"/>
              <w:contextualSpacing/>
              <w:rPr>
                <w:rFonts w:ascii="Century" w:hAnsi="Century"/>
                <w:b/>
                <w:bCs/>
                <w:i/>
                <w:sz w:val="18"/>
                <w:szCs w:val="18"/>
              </w:rPr>
            </w:pPr>
            <w:r w:rsidRPr="00704D8F">
              <w:rPr>
                <w:rFonts w:ascii="Century" w:hAnsi="Century"/>
                <w:bCs/>
                <w:i/>
                <w:sz w:val="18"/>
                <w:szCs w:val="18"/>
              </w:rPr>
              <w:t>без учета межбюджетных трансфертов</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17 073</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19 851</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20 026</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20 549</w:t>
            </w:r>
          </w:p>
        </w:tc>
      </w:tr>
      <w:tr w:rsidR="00133BC5" w:rsidRPr="00920E8A" w:rsidTr="006A22F2">
        <w:trPr>
          <w:trHeight w:val="340"/>
        </w:trPr>
        <w:tc>
          <w:tcPr>
            <w:tcW w:w="5495" w:type="dxa"/>
            <w:shd w:val="clear" w:color="auto" w:fill="F2F2F2"/>
            <w:vAlign w:val="center"/>
          </w:tcPr>
          <w:p w:rsidR="00133BC5" w:rsidRPr="00704D8F" w:rsidRDefault="00133BC5" w:rsidP="00133BC5">
            <w:pPr>
              <w:spacing w:after="0"/>
              <w:contextualSpacing/>
              <w:rPr>
                <w:rFonts w:ascii="Century" w:hAnsi="Century"/>
                <w:b/>
                <w:bCs/>
                <w:sz w:val="20"/>
                <w:szCs w:val="20"/>
              </w:rPr>
            </w:pPr>
            <w:r w:rsidRPr="00704D8F">
              <w:rPr>
                <w:rFonts w:ascii="Century" w:hAnsi="Century"/>
                <w:bCs/>
                <w:sz w:val="20"/>
                <w:szCs w:val="20"/>
              </w:rPr>
              <w:t xml:space="preserve">Консолидированные бюджеты субъектов </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11 579</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12 110</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12 723</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13 428</w:t>
            </w:r>
          </w:p>
        </w:tc>
      </w:tr>
      <w:tr w:rsidR="00133BC5" w:rsidRPr="00920E8A" w:rsidTr="006A22F2">
        <w:trPr>
          <w:trHeight w:val="340"/>
        </w:trPr>
        <w:tc>
          <w:tcPr>
            <w:tcW w:w="5495" w:type="dxa"/>
            <w:vAlign w:val="center"/>
          </w:tcPr>
          <w:p w:rsidR="00133BC5" w:rsidRPr="00704D8F" w:rsidRDefault="00133BC5" w:rsidP="00133BC5">
            <w:pPr>
              <w:spacing w:after="0"/>
              <w:ind w:left="176"/>
              <w:contextualSpacing/>
              <w:rPr>
                <w:rFonts w:ascii="Century" w:hAnsi="Century"/>
                <w:b/>
                <w:bCs/>
                <w:i/>
                <w:sz w:val="18"/>
                <w:szCs w:val="18"/>
              </w:rPr>
            </w:pPr>
            <w:r w:rsidRPr="00704D8F">
              <w:rPr>
                <w:rFonts w:ascii="Century" w:hAnsi="Century"/>
                <w:bCs/>
                <w:i/>
                <w:sz w:val="18"/>
                <w:szCs w:val="18"/>
              </w:rPr>
              <w:t>без учета межбюджетных трансфертов</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9 859</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10 331</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10 962</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11 763</w:t>
            </w:r>
          </w:p>
        </w:tc>
      </w:tr>
      <w:tr w:rsidR="00133BC5" w:rsidRPr="00920E8A" w:rsidTr="006A22F2">
        <w:trPr>
          <w:trHeight w:val="340"/>
        </w:trPr>
        <w:tc>
          <w:tcPr>
            <w:tcW w:w="5495" w:type="dxa"/>
            <w:shd w:val="clear" w:color="auto" w:fill="F2F2F2"/>
            <w:vAlign w:val="center"/>
          </w:tcPr>
          <w:p w:rsidR="00133BC5" w:rsidRPr="00704D8F" w:rsidRDefault="00133BC5" w:rsidP="00133BC5">
            <w:pPr>
              <w:spacing w:after="0"/>
              <w:contextualSpacing/>
              <w:rPr>
                <w:rFonts w:ascii="Century" w:hAnsi="Century"/>
                <w:b/>
                <w:bCs/>
                <w:sz w:val="20"/>
                <w:szCs w:val="20"/>
              </w:rPr>
            </w:pPr>
            <w:r w:rsidRPr="00704D8F">
              <w:rPr>
                <w:rFonts w:ascii="Century" w:hAnsi="Century"/>
                <w:bCs/>
                <w:sz w:val="20"/>
                <w:szCs w:val="20"/>
              </w:rPr>
              <w:t>Государственные внебюджетные фонды</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10 833</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11 323</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11 839</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12 224</w:t>
            </w:r>
          </w:p>
        </w:tc>
      </w:tr>
      <w:tr w:rsidR="00133BC5" w:rsidRPr="00920E8A" w:rsidTr="006A22F2">
        <w:trPr>
          <w:trHeight w:val="340"/>
        </w:trPr>
        <w:tc>
          <w:tcPr>
            <w:tcW w:w="5495" w:type="dxa"/>
            <w:vAlign w:val="center"/>
          </w:tcPr>
          <w:p w:rsidR="00133BC5" w:rsidRPr="00704D8F" w:rsidRDefault="00133BC5" w:rsidP="00133BC5">
            <w:pPr>
              <w:spacing w:after="0"/>
              <w:ind w:left="176"/>
              <w:contextualSpacing/>
              <w:rPr>
                <w:rFonts w:ascii="Century" w:hAnsi="Century"/>
                <w:b/>
                <w:bCs/>
                <w:i/>
                <w:sz w:val="18"/>
                <w:szCs w:val="18"/>
              </w:rPr>
            </w:pPr>
            <w:r w:rsidRPr="00704D8F">
              <w:rPr>
                <w:rFonts w:ascii="Century" w:hAnsi="Century"/>
                <w:bCs/>
                <w:i/>
                <w:sz w:val="18"/>
                <w:szCs w:val="18"/>
              </w:rPr>
              <w:t>без учета межбюджетных трансфертов</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7 387</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7 851</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8 191</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8 675</w:t>
            </w:r>
          </w:p>
        </w:tc>
      </w:tr>
      <w:tr w:rsidR="00133BC5" w:rsidRPr="00920E8A" w:rsidTr="006A22F2">
        <w:trPr>
          <w:trHeight w:val="340"/>
        </w:trPr>
        <w:tc>
          <w:tcPr>
            <w:tcW w:w="5495" w:type="dxa"/>
            <w:shd w:val="clear" w:color="auto" w:fill="F2F2F2"/>
            <w:vAlign w:val="center"/>
          </w:tcPr>
          <w:p w:rsidR="00133BC5" w:rsidRPr="00704D8F" w:rsidRDefault="00133BC5" w:rsidP="00133BC5">
            <w:pPr>
              <w:spacing w:after="0"/>
              <w:ind w:left="459"/>
              <w:contextualSpacing/>
              <w:rPr>
                <w:rFonts w:ascii="Century" w:hAnsi="Century"/>
                <w:b/>
                <w:bCs/>
                <w:sz w:val="20"/>
                <w:szCs w:val="20"/>
              </w:rPr>
            </w:pPr>
            <w:r w:rsidRPr="00704D8F">
              <w:rPr>
                <w:rFonts w:ascii="Century" w:hAnsi="Century"/>
                <w:bCs/>
                <w:sz w:val="20"/>
                <w:szCs w:val="20"/>
              </w:rPr>
              <w:t>Пенсионный фонд</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8 236</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8 588</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8 903</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9 167</w:t>
            </w:r>
          </w:p>
        </w:tc>
      </w:tr>
      <w:tr w:rsidR="00133BC5" w:rsidRPr="00920E8A" w:rsidTr="006A22F2">
        <w:trPr>
          <w:trHeight w:val="340"/>
        </w:trPr>
        <w:tc>
          <w:tcPr>
            <w:tcW w:w="5495" w:type="dxa"/>
            <w:vAlign w:val="center"/>
          </w:tcPr>
          <w:p w:rsidR="00133BC5" w:rsidRPr="00704D8F" w:rsidRDefault="00133BC5" w:rsidP="00133BC5">
            <w:pPr>
              <w:spacing w:after="0"/>
              <w:ind w:left="601"/>
              <w:contextualSpacing/>
              <w:rPr>
                <w:rFonts w:ascii="Century" w:hAnsi="Century"/>
                <w:b/>
                <w:bCs/>
                <w:i/>
                <w:sz w:val="18"/>
                <w:szCs w:val="18"/>
              </w:rPr>
            </w:pPr>
            <w:r w:rsidRPr="00704D8F">
              <w:rPr>
                <w:rFonts w:ascii="Century" w:hAnsi="Century"/>
                <w:bCs/>
                <w:i/>
                <w:sz w:val="18"/>
                <w:szCs w:val="18"/>
              </w:rPr>
              <w:t>без учета межбюджетных трансфертов</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4 887</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5 174</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5 420</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5 791</w:t>
            </w:r>
          </w:p>
        </w:tc>
      </w:tr>
      <w:tr w:rsidR="00133BC5" w:rsidRPr="00920E8A" w:rsidTr="006A22F2">
        <w:trPr>
          <w:trHeight w:val="340"/>
        </w:trPr>
        <w:tc>
          <w:tcPr>
            <w:tcW w:w="5495" w:type="dxa"/>
            <w:shd w:val="clear" w:color="auto" w:fill="F2F2F2"/>
            <w:vAlign w:val="center"/>
          </w:tcPr>
          <w:p w:rsidR="00133BC5" w:rsidRPr="00704D8F" w:rsidRDefault="00133BC5" w:rsidP="00133BC5">
            <w:pPr>
              <w:spacing w:after="0"/>
              <w:ind w:left="459"/>
              <w:contextualSpacing/>
              <w:rPr>
                <w:rFonts w:ascii="Century" w:hAnsi="Century"/>
                <w:b/>
                <w:bCs/>
                <w:sz w:val="20"/>
                <w:szCs w:val="20"/>
              </w:rPr>
            </w:pPr>
            <w:r w:rsidRPr="00704D8F">
              <w:rPr>
                <w:rFonts w:ascii="Century" w:hAnsi="Century"/>
                <w:bCs/>
                <w:sz w:val="20"/>
                <w:szCs w:val="20"/>
              </w:rPr>
              <w:t>Фонд социального страхования</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709</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738</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764</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772</w:t>
            </w:r>
          </w:p>
        </w:tc>
      </w:tr>
      <w:tr w:rsidR="00133BC5" w:rsidRPr="00920E8A" w:rsidTr="006A22F2">
        <w:trPr>
          <w:trHeight w:val="340"/>
        </w:trPr>
        <w:tc>
          <w:tcPr>
            <w:tcW w:w="5495" w:type="dxa"/>
            <w:vAlign w:val="center"/>
          </w:tcPr>
          <w:p w:rsidR="00133BC5" w:rsidRPr="00704D8F" w:rsidRDefault="00133BC5" w:rsidP="00133BC5">
            <w:pPr>
              <w:spacing w:after="0"/>
              <w:ind w:left="601"/>
              <w:contextualSpacing/>
              <w:rPr>
                <w:rFonts w:ascii="Century" w:hAnsi="Century"/>
                <w:b/>
                <w:bCs/>
                <w:i/>
                <w:sz w:val="18"/>
                <w:szCs w:val="18"/>
              </w:rPr>
            </w:pPr>
            <w:r w:rsidRPr="00704D8F">
              <w:rPr>
                <w:rFonts w:ascii="Century" w:hAnsi="Century"/>
                <w:bCs/>
                <w:i/>
                <w:sz w:val="18"/>
                <w:szCs w:val="18"/>
              </w:rPr>
              <w:t>без учета межбюджетных трансфертов</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644</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689</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715</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723</w:t>
            </w:r>
          </w:p>
        </w:tc>
      </w:tr>
      <w:tr w:rsidR="00133BC5" w:rsidRPr="00920E8A" w:rsidTr="006A22F2">
        <w:trPr>
          <w:trHeight w:val="340"/>
        </w:trPr>
        <w:tc>
          <w:tcPr>
            <w:tcW w:w="5495" w:type="dxa"/>
            <w:shd w:val="clear" w:color="auto" w:fill="F2F2F2"/>
            <w:vAlign w:val="center"/>
          </w:tcPr>
          <w:p w:rsidR="00133BC5" w:rsidRPr="00704D8F" w:rsidRDefault="00133BC5" w:rsidP="00133BC5">
            <w:pPr>
              <w:spacing w:after="0"/>
              <w:ind w:left="459"/>
              <w:contextualSpacing/>
              <w:rPr>
                <w:rFonts w:ascii="Century" w:hAnsi="Century"/>
                <w:b/>
                <w:bCs/>
                <w:sz w:val="20"/>
                <w:szCs w:val="20"/>
              </w:rPr>
            </w:pPr>
            <w:r w:rsidRPr="00704D8F">
              <w:rPr>
                <w:rFonts w:ascii="Century" w:hAnsi="Century"/>
                <w:bCs/>
                <w:sz w:val="20"/>
                <w:szCs w:val="20"/>
              </w:rPr>
              <w:t>Фонд обязательного медицинского страхования</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1 888</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1 997</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2 171</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2 284</w:t>
            </w:r>
          </w:p>
        </w:tc>
      </w:tr>
      <w:tr w:rsidR="00133BC5" w:rsidRPr="00920E8A" w:rsidTr="006A22F2">
        <w:trPr>
          <w:trHeight w:val="340"/>
        </w:trPr>
        <w:tc>
          <w:tcPr>
            <w:tcW w:w="5495" w:type="dxa"/>
            <w:vAlign w:val="center"/>
          </w:tcPr>
          <w:p w:rsidR="00133BC5" w:rsidRPr="00704D8F" w:rsidRDefault="00133BC5" w:rsidP="00133BC5">
            <w:pPr>
              <w:spacing w:after="0"/>
              <w:ind w:left="601"/>
              <w:contextualSpacing/>
              <w:rPr>
                <w:rFonts w:ascii="Century" w:hAnsi="Century"/>
                <w:b/>
                <w:bCs/>
                <w:i/>
                <w:sz w:val="18"/>
                <w:szCs w:val="18"/>
              </w:rPr>
            </w:pPr>
            <w:r w:rsidRPr="00704D8F">
              <w:rPr>
                <w:rFonts w:ascii="Century" w:hAnsi="Century"/>
                <w:bCs/>
                <w:i/>
                <w:sz w:val="18"/>
                <w:szCs w:val="18"/>
              </w:rPr>
              <w:t>без учета межбюджетных трансфертов</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1 856</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1 989</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2 056</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2 162</w:t>
            </w:r>
          </w:p>
        </w:tc>
      </w:tr>
      <w:tr w:rsidR="00133BC5" w:rsidRPr="00920E8A" w:rsidTr="006A22F2">
        <w:trPr>
          <w:trHeight w:val="340"/>
        </w:trPr>
        <w:tc>
          <w:tcPr>
            <w:tcW w:w="5495" w:type="dxa"/>
            <w:shd w:val="clear" w:color="auto" w:fill="F2F2F2"/>
            <w:vAlign w:val="center"/>
          </w:tcPr>
          <w:p w:rsidR="00133BC5" w:rsidRPr="00704D8F" w:rsidRDefault="00133BC5" w:rsidP="00133BC5">
            <w:pPr>
              <w:spacing w:after="0"/>
              <w:contextualSpacing/>
              <w:rPr>
                <w:rFonts w:ascii="Century" w:hAnsi="Century"/>
                <w:b/>
                <w:bCs/>
                <w:sz w:val="20"/>
                <w:szCs w:val="20"/>
              </w:rPr>
            </w:pPr>
            <w:r w:rsidRPr="00704D8F">
              <w:rPr>
                <w:rFonts w:ascii="Century" w:hAnsi="Century"/>
                <w:b/>
                <w:sz w:val="20"/>
                <w:szCs w:val="20"/>
              </w:rPr>
              <w:t>Расходы, всего</w:t>
            </w:r>
          </w:p>
        </w:tc>
        <w:tc>
          <w:tcPr>
            <w:tcW w:w="992" w:type="dxa"/>
            <w:shd w:val="clear" w:color="auto" w:fill="F2F2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34 015</w:t>
            </w:r>
          </w:p>
        </w:tc>
        <w:tc>
          <w:tcPr>
            <w:tcW w:w="992" w:type="dxa"/>
            <w:shd w:val="clear" w:color="auto" w:fill="F2F2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36 257</w:t>
            </w:r>
          </w:p>
        </w:tc>
        <w:tc>
          <w:tcPr>
            <w:tcW w:w="992" w:type="dxa"/>
            <w:shd w:val="clear" w:color="auto" w:fill="F2F2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38 087</w:t>
            </w:r>
          </w:p>
        </w:tc>
        <w:tc>
          <w:tcPr>
            <w:tcW w:w="992" w:type="dxa"/>
            <w:shd w:val="clear" w:color="auto" w:fill="F2F2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40 386</w:t>
            </w:r>
          </w:p>
        </w:tc>
      </w:tr>
      <w:tr w:rsidR="00133BC5" w:rsidRPr="00920E8A" w:rsidTr="006A22F2">
        <w:trPr>
          <w:trHeight w:val="340"/>
        </w:trPr>
        <w:tc>
          <w:tcPr>
            <w:tcW w:w="5495" w:type="dxa"/>
            <w:vAlign w:val="center"/>
          </w:tcPr>
          <w:p w:rsidR="00133BC5" w:rsidRPr="00704D8F" w:rsidRDefault="00133BC5" w:rsidP="00133BC5">
            <w:pPr>
              <w:spacing w:after="0"/>
              <w:contextualSpacing/>
              <w:rPr>
                <w:rFonts w:ascii="Century" w:hAnsi="Century"/>
                <w:b/>
                <w:bCs/>
                <w:sz w:val="20"/>
                <w:szCs w:val="20"/>
              </w:rPr>
            </w:pPr>
            <w:r w:rsidRPr="00704D8F">
              <w:rPr>
                <w:rFonts w:ascii="Century" w:hAnsi="Century"/>
                <w:bCs/>
                <w:sz w:val="20"/>
                <w:szCs w:val="20"/>
              </w:rPr>
              <w:t>%% ВВП</w:t>
            </w:r>
          </w:p>
        </w:tc>
        <w:tc>
          <w:tcPr>
            <w:tcW w:w="992" w:type="dxa"/>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33,8</w:t>
            </w:r>
          </w:p>
        </w:tc>
        <w:tc>
          <w:tcPr>
            <w:tcW w:w="992" w:type="dxa"/>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34,2</w:t>
            </w:r>
          </w:p>
        </w:tc>
        <w:tc>
          <w:tcPr>
            <w:tcW w:w="992" w:type="dxa"/>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34,1</w:t>
            </w:r>
          </w:p>
        </w:tc>
        <w:tc>
          <w:tcPr>
            <w:tcW w:w="992" w:type="dxa"/>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33,8</w:t>
            </w:r>
          </w:p>
        </w:tc>
      </w:tr>
      <w:tr w:rsidR="00133BC5" w:rsidRPr="00920E8A" w:rsidTr="006A22F2">
        <w:trPr>
          <w:trHeight w:val="340"/>
        </w:trPr>
        <w:tc>
          <w:tcPr>
            <w:tcW w:w="5495" w:type="dxa"/>
            <w:shd w:val="clear" w:color="auto" w:fill="F2F2F2"/>
            <w:vAlign w:val="center"/>
          </w:tcPr>
          <w:p w:rsidR="00133BC5" w:rsidRPr="00704D8F" w:rsidRDefault="00133BC5" w:rsidP="00133BC5">
            <w:pPr>
              <w:spacing w:after="0"/>
              <w:contextualSpacing/>
              <w:rPr>
                <w:rFonts w:ascii="Century" w:hAnsi="Century"/>
                <w:b/>
                <w:bCs/>
                <w:sz w:val="20"/>
                <w:szCs w:val="20"/>
              </w:rPr>
            </w:pPr>
            <w:r w:rsidRPr="00704D8F">
              <w:rPr>
                <w:rFonts w:ascii="Century" w:hAnsi="Century"/>
                <w:bCs/>
                <w:sz w:val="20"/>
                <w:szCs w:val="20"/>
              </w:rPr>
              <w:t>Федеральный бюджет</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16 591</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17 897</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18 873</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19 890</w:t>
            </w:r>
          </w:p>
        </w:tc>
      </w:tr>
      <w:tr w:rsidR="00133BC5" w:rsidRPr="00920E8A" w:rsidTr="006A22F2">
        <w:trPr>
          <w:trHeight w:val="340"/>
        </w:trPr>
        <w:tc>
          <w:tcPr>
            <w:tcW w:w="5495" w:type="dxa"/>
            <w:vAlign w:val="center"/>
          </w:tcPr>
          <w:p w:rsidR="00133BC5" w:rsidRPr="00704D8F" w:rsidRDefault="00133BC5" w:rsidP="00133BC5">
            <w:pPr>
              <w:spacing w:after="0"/>
              <w:ind w:left="176"/>
              <w:contextualSpacing/>
              <w:rPr>
                <w:rFonts w:ascii="Century" w:hAnsi="Century"/>
                <w:b/>
                <w:bCs/>
                <w:i/>
                <w:sz w:val="18"/>
                <w:szCs w:val="18"/>
              </w:rPr>
            </w:pPr>
            <w:r w:rsidRPr="00704D8F">
              <w:rPr>
                <w:rFonts w:ascii="Century" w:hAnsi="Century"/>
                <w:bCs/>
                <w:i/>
                <w:sz w:val="18"/>
                <w:szCs w:val="18"/>
              </w:rPr>
              <w:t>без учета межбюджетных трансфертов</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11 447</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12 666</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13 483</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14 695</w:t>
            </w:r>
          </w:p>
        </w:tc>
      </w:tr>
      <w:tr w:rsidR="00133BC5" w:rsidRPr="00920E8A" w:rsidTr="006A22F2">
        <w:trPr>
          <w:trHeight w:val="340"/>
        </w:trPr>
        <w:tc>
          <w:tcPr>
            <w:tcW w:w="5495" w:type="dxa"/>
            <w:shd w:val="clear" w:color="auto" w:fill="F2F2F2"/>
            <w:vAlign w:val="center"/>
          </w:tcPr>
          <w:p w:rsidR="00133BC5" w:rsidRPr="00704D8F" w:rsidRDefault="00133BC5" w:rsidP="00133BC5">
            <w:pPr>
              <w:spacing w:after="0"/>
              <w:contextualSpacing/>
              <w:rPr>
                <w:rFonts w:ascii="Century" w:hAnsi="Century"/>
                <w:b/>
                <w:bCs/>
                <w:sz w:val="20"/>
                <w:szCs w:val="20"/>
              </w:rPr>
            </w:pPr>
            <w:r w:rsidRPr="00704D8F">
              <w:rPr>
                <w:rFonts w:ascii="Century" w:hAnsi="Century"/>
                <w:bCs/>
                <w:sz w:val="20"/>
                <w:szCs w:val="20"/>
              </w:rPr>
              <w:t>Консолидированные бюджеты субъектов</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11 623</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12 206</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12 779</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13 464</w:t>
            </w:r>
          </w:p>
        </w:tc>
      </w:tr>
      <w:tr w:rsidR="00133BC5" w:rsidRPr="00920E8A" w:rsidTr="006A22F2">
        <w:trPr>
          <w:trHeight w:val="340"/>
        </w:trPr>
        <w:tc>
          <w:tcPr>
            <w:tcW w:w="5495" w:type="dxa"/>
            <w:vAlign w:val="center"/>
          </w:tcPr>
          <w:p w:rsidR="00133BC5" w:rsidRPr="00704D8F" w:rsidRDefault="00133BC5" w:rsidP="00133BC5">
            <w:pPr>
              <w:spacing w:after="0"/>
              <w:ind w:left="176"/>
              <w:contextualSpacing/>
              <w:rPr>
                <w:rFonts w:ascii="Century" w:hAnsi="Century"/>
                <w:b/>
                <w:bCs/>
                <w:i/>
                <w:sz w:val="18"/>
                <w:szCs w:val="18"/>
              </w:rPr>
            </w:pPr>
            <w:r w:rsidRPr="00704D8F">
              <w:rPr>
                <w:rFonts w:ascii="Century" w:hAnsi="Century"/>
                <w:bCs/>
                <w:i/>
                <w:sz w:val="18"/>
                <w:szCs w:val="18"/>
              </w:rPr>
              <w:t>без учета межбюджетных трансфертов</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11 620</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12 203</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12 776</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13 460</w:t>
            </w:r>
          </w:p>
        </w:tc>
      </w:tr>
      <w:tr w:rsidR="00133BC5" w:rsidRPr="00920E8A" w:rsidTr="006A22F2">
        <w:trPr>
          <w:trHeight w:val="340"/>
        </w:trPr>
        <w:tc>
          <w:tcPr>
            <w:tcW w:w="5495" w:type="dxa"/>
            <w:shd w:val="clear" w:color="auto" w:fill="F2F2F2"/>
            <w:vAlign w:val="center"/>
          </w:tcPr>
          <w:p w:rsidR="00133BC5" w:rsidRPr="00704D8F" w:rsidRDefault="00133BC5" w:rsidP="00133BC5">
            <w:pPr>
              <w:spacing w:after="0"/>
              <w:contextualSpacing/>
              <w:rPr>
                <w:rFonts w:ascii="Century" w:hAnsi="Century"/>
                <w:b/>
                <w:bCs/>
                <w:sz w:val="20"/>
                <w:szCs w:val="20"/>
              </w:rPr>
            </w:pPr>
            <w:r w:rsidRPr="00704D8F">
              <w:rPr>
                <w:rFonts w:ascii="Century" w:hAnsi="Century"/>
                <w:bCs/>
                <w:sz w:val="20"/>
                <w:szCs w:val="20"/>
              </w:rPr>
              <w:t>Государственные внебюджетные фонды</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10 967</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11 403</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11 844</w:t>
            </w:r>
          </w:p>
        </w:tc>
        <w:tc>
          <w:tcPr>
            <w:tcW w:w="992" w:type="dxa"/>
            <w:shd w:val="clear" w:color="auto" w:fill="F2F2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12 246</w:t>
            </w:r>
          </w:p>
        </w:tc>
      </w:tr>
      <w:tr w:rsidR="00133BC5" w:rsidRPr="00920E8A" w:rsidTr="006A22F2">
        <w:trPr>
          <w:trHeight w:val="340"/>
        </w:trPr>
        <w:tc>
          <w:tcPr>
            <w:tcW w:w="5495" w:type="dxa"/>
            <w:vAlign w:val="center"/>
          </w:tcPr>
          <w:p w:rsidR="00133BC5" w:rsidRPr="00704D8F" w:rsidRDefault="00133BC5" w:rsidP="00133BC5">
            <w:pPr>
              <w:spacing w:after="0"/>
              <w:ind w:left="176"/>
              <w:contextualSpacing/>
              <w:rPr>
                <w:rFonts w:ascii="Century" w:hAnsi="Century"/>
                <w:b/>
                <w:bCs/>
                <w:i/>
                <w:sz w:val="18"/>
                <w:szCs w:val="18"/>
              </w:rPr>
            </w:pPr>
            <w:r w:rsidRPr="00704D8F">
              <w:rPr>
                <w:rFonts w:ascii="Century" w:hAnsi="Century"/>
                <w:bCs/>
                <w:i/>
                <w:sz w:val="18"/>
                <w:szCs w:val="18"/>
              </w:rPr>
              <w:lastRenderedPageBreak/>
              <w:t>без учета межбюджетных трансфертов</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10 948</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11 387</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11 828</w:t>
            </w:r>
          </w:p>
        </w:tc>
        <w:tc>
          <w:tcPr>
            <w:tcW w:w="992" w:type="dxa"/>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12 230</w:t>
            </w:r>
          </w:p>
        </w:tc>
      </w:tr>
      <w:tr w:rsidR="00133BC5" w:rsidRPr="00920E8A" w:rsidTr="006A22F2">
        <w:trPr>
          <w:trHeight w:val="340"/>
        </w:trPr>
        <w:tc>
          <w:tcPr>
            <w:tcW w:w="5495" w:type="dxa"/>
            <w:shd w:val="clear" w:color="auto" w:fill="F2F2F2" w:themeFill="background1" w:themeFillShade="F2"/>
            <w:vAlign w:val="center"/>
          </w:tcPr>
          <w:p w:rsidR="00133BC5" w:rsidRPr="00704D8F" w:rsidRDefault="00133BC5" w:rsidP="00133BC5">
            <w:pPr>
              <w:spacing w:after="0"/>
              <w:ind w:left="459"/>
              <w:contextualSpacing/>
              <w:rPr>
                <w:rFonts w:ascii="Century" w:hAnsi="Century"/>
                <w:b/>
                <w:bCs/>
                <w:sz w:val="20"/>
                <w:szCs w:val="20"/>
              </w:rPr>
            </w:pPr>
            <w:r w:rsidRPr="00704D8F">
              <w:rPr>
                <w:rFonts w:ascii="Century" w:hAnsi="Century"/>
                <w:bCs/>
                <w:sz w:val="20"/>
                <w:szCs w:val="20"/>
              </w:rPr>
              <w:t>Пенсионный фонд</w:t>
            </w:r>
          </w:p>
        </w:tc>
        <w:tc>
          <w:tcPr>
            <w:tcW w:w="992"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8 236</w:t>
            </w:r>
          </w:p>
        </w:tc>
        <w:tc>
          <w:tcPr>
            <w:tcW w:w="992"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8 588</w:t>
            </w:r>
          </w:p>
        </w:tc>
        <w:tc>
          <w:tcPr>
            <w:tcW w:w="992"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8 903</w:t>
            </w:r>
          </w:p>
        </w:tc>
        <w:tc>
          <w:tcPr>
            <w:tcW w:w="992"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9 167</w:t>
            </w:r>
          </w:p>
        </w:tc>
      </w:tr>
      <w:tr w:rsidR="00133BC5" w:rsidRPr="00920E8A" w:rsidTr="006A22F2">
        <w:trPr>
          <w:trHeight w:val="340"/>
        </w:trPr>
        <w:tc>
          <w:tcPr>
            <w:tcW w:w="5495" w:type="dxa"/>
            <w:shd w:val="clear" w:color="auto" w:fill="FFFFFF" w:themeFill="background1"/>
            <w:vAlign w:val="center"/>
          </w:tcPr>
          <w:p w:rsidR="00133BC5" w:rsidRPr="00704D8F" w:rsidRDefault="00133BC5" w:rsidP="00133BC5">
            <w:pPr>
              <w:spacing w:after="0"/>
              <w:ind w:left="459"/>
              <w:contextualSpacing/>
              <w:rPr>
                <w:rFonts w:ascii="Century" w:hAnsi="Century"/>
                <w:b/>
                <w:bCs/>
                <w:sz w:val="20"/>
                <w:szCs w:val="20"/>
              </w:rPr>
            </w:pPr>
            <w:r w:rsidRPr="00704D8F">
              <w:rPr>
                <w:rFonts w:ascii="Century" w:hAnsi="Century"/>
                <w:bCs/>
                <w:sz w:val="20"/>
                <w:szCs w:val="20"/>
              </w:rPr>
              <w:t>Фонд социального страхования</w:t>
            </w:r>
          </w:p>
        </w:tc>
        <w:tc>
          <w:tcPr>
            <w:tcW w:w="992"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737</w:t>
            </w:r>
          </w:p>
        </w:tc>
        <w:tc>
          <w:tcPr>
            <w:tcW w:w="992"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734</w:t>
            </w:r>
          </w:p>
        </w:tc>
        <w:tc>
          <w:tcPr>
            <w:tcW w:w="992"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767</w:t>
            </w:r>
          </w:p>
        </w:tc>
        <w:tc>
          <w:tcPr>
            <w:tcW w:w="992" w:type="dxa"/>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794</w:t>
            </w:r>
          </w:p>
        </w:tc>
      </w:tr>
      <w:tr w:rsidR="00133BC5" w:rsidRPr="00920E8A" w:rsidTr="006A22F2">
        <w:trPr>
          <w:trHeight w:val="340"/>
        </w:trPr>
        <w:tc>
          <w:tcPr>
            <w:tcW w:w="5495" w:type="dxa"/>
            <w:shd w:val="clear" w:color="auto" w:fill="F2F2F2" w:themeFill="background1" w:themeFillShade="F2"/>
            <w:vAlign w:val="center"/>
          </w:tcPr>
          <w:p w:rsidR="00133BC5" w:rsidRPr="00704D8F" w:rsidRDefault="00133BC5" w:rsidP="00133BC5">
            <w:pPr>
              <w:spacing w:after="0"/>
              <w:ind w:left="459"/>
              <w:contextualSpacing/>
              <w:rPr>
                <w:rFonts w:ascii="Century" w:hAnsi="Century"/>
                <w:b/>
                <w:bCs/>
                <w:sz w:val="20"/>
                <w:szCs w:val="20"/>
              </w:rPr>
            </w:pPr>
            <w:r w:rsidRPr="00704D8F">
              <w:rPr>
                <w:rFonts w:ascii="Century" w:hAnsi="Century"/>
                <w:bCs/>
                <w:sz w:val="20"/>
                <w:szCs w:val="20"/>
              </w:rPr>
              <w:t>Фонд обязательного медицинского страхования</w:t>
            </w:r>
          </w:p>
        </w:tc>
        <w:tc>
          <w:tcPr>
            <w:tcW w:w="992"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1 994</w:t>
            </w:r>
          </w:p>
        </w:tc>
        <w:tc>
          <w:tcPr>
            <w:tcW w:w="992"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2 082</w:t>
            </w:r>
          </w:p>
        </w:tc>
        <w:tc>
          <w:tcPr>
            <w:tcW w:w="992"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2 173</w:t>
            </w:r>
          </w:p>
        </w:tc>
        <w:tc>
          <w:tcPr>
            <w:tcW w:w="992" w:type="dxa"/>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2 284</w:t>
            </w:r>
          </w:p>
        </w:tc>
      </w:tr>
      <w:tr w:rsidR="00133BC5" w:rsidRPr="00920E8A" w:rsidTr="006A22F2">
        <w:trPr>
          <w:trHeight w:val="340"/>
        </w:trPr>
        <w:tc>
          <w:tcPr>
            <w:tcW w:w="5495" w:type="dxa"/>
            <w:shd w:val="clear" w:color="auto" w:fill="FFFFFF" w:themeFill="background1"/>
            <w:vAlign w:val="center"/>
          </w:tcPr>
          <w:p w:rsidR="00133BC5" w:rsidRPr="00704D8F" w:rsidRDefault="00133BC5" w:rsidP="00133BC5">
            <w:pPr>
              <w:spacing w:after="0"/>
              <w:ind w:left="567"/>
              <w:contextualSpacing/>
              <w:rPr>
                <w:rFonts w:ascii="Century" w:hAnsi="Century"/>
                <w:b/>
                <w:sz w:val="20"/>
                <w:szCs w:val="20"/>
              </w:rPr>
            </w:pPr>
            <w:r w:rsidRPr="00704D8F">
              <w:rPr>
                <w:rFonts w:ascii="Century" w:hAnsi="Century"/>
                <w:bCs/>
                <w:i/>
                <w:sz w:val="18"/>
                <w:szCs w:val="18"/>
              </w:rPr>
              <w:t>без учета межбюджетных трансфертов</w:t>
            </w:r>
          </w:p>
        </w:tc>
        <w:tc>
          <w:tcPr>
            <w:tcW w:w="992" w:type="dxa"/>
            <w:shd w:val="clear" w:color="auto" w:fill="FFFFFF" w:themeFill="background1"/>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1 976</w:t>
            </w:r>
          </w:p>
        </w:tc>
        <w:tc>
          <w:tcPr>
            <w:tcW w:w="992" w:type="dxa"/>
            <w:shd w:val="clear" w:color="auto" w:fill="FFFFFF" w:themeFill="background1"/>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2 066</w:t>
            </w:r>
          </w:p>
        </w:tc>
        <w:tc>
          <w:tcPr>
            <w:tcW w:w="992" w:type="dxa"/>
            <w:shd w:val="clear" w:color="auto" w:fill="FFFFFF" w:themeFill="background1"/>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2 157</w:t>
            </w:r>
          </w:p>
        </w:tc>
        <w:tc>
          <w:tcPr>
            <w:tcW w:w="992" w:type="dxa"/>
            <w:shd w:val="clear" w:color="auto" w:fill="FFFFFF" w:themeFill="background1"/>
            <w:vAlign w:val="center"/>
          </w:tcPr>
          <w:p w:rsidR="00133BC5" w:rsidRDefault="00133BC5" w:rsidP="00133BC5">
            <w:pPr>
              <w:spacing w:after="0"/>
              <w:contextualSpacing/>
              <w:jc w:val="right"/>
              <w:rPr>
                <w:rFonts w:ascii="Century" w:hAnsi="Century"/>
                <w:i/>
                <w:iCs/>
                <w:sz w:val="18"/>
                <w:szCs w:val="18"/>
              </w:rPr>
            </w:pPr>
            <w:r>
              <w:rPr>
                <w:rFonts w:ascii="Century" w:hAnsi="Century"/>
                <w:i/>
                <w:iCs/>
                <w:sz w:val="18"/>
                <w:szCs w:val="18"/>
              </w:rPr>
              <w:t>2 269</w:t>
            </w:r>
          </w:p>
        </w:tc>
      </w:tr>
      <w:tr w:rsidR="00133BC5" w:rsidRPr="00920E8A" w:rsidTr="006A22F2">
        <w:trPr>
          <w:trHeight w:val="340"/>
        </w:trPr>
        <w:tc>
          <w:tcPr>
            <w:tcW w:w="5495" w:type="dxa"/>
            <w:shd w:val="clear" w:color="auto" w:fill="F2F2F2"/>
            <w:vAlign w:val="center"/>
          </w:tcPr>
          <w:p w:rsidR="00133BC5" w:rsidRPr="00704D8F" w:rsidRDefault="00133BC5" w:rsidP="00133BC5">
            <w:pPr>
              <w:spacing w:after="0"/>
              <w:contextualSpacing/>
              <w:rPr>
                <w:rFonts w:ascii="Century" w:hAnsi="Century"/>
                <w:b/>
                <w:bCs/>
                <w:sz w:val="20"/>
                <w:szCs w:val="20"/>
              </w:rPr>
            </w:pPr>
            <w:r w:rsidRPr="00704D8F">
              <w:rPr>
                <w:rFonts w:ascii="Century" w:hAnsi="Century"/>
                <w:b/>
                <w:sz w:val="20"/>
                <w:szCs w:val="20"/>
              </w:rPr>
              <w:t>Дефицит (-)/профицит (+), всего</w:t>
            </w:r>
          </w:p>
        </w:tc>
        <w:tc>
          <w:tcPr>
            <w:tcW w:w="992" w:type="dxa"/>
            <w:shd w:val="clear" w:color="auto" w:fill="F2F2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303</w:t>
            </w:r>
          </w:p>
        </w:tc>
        <w:tc>
          <w:tcPr>
            <w:tcW w:w="992" w:type="dxa"/>
            <w:shd w:val="clear" w:color="auto" w:fill="F2F2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1 777</w:t>
            </w:r>
          </w:p>
        </w:tc>
        <w:tc>
          <w:tcPr>
            <w:tcW w:w="992" w:type="dxa"/>
            <w:shd w:val="clear" w:color="auto" w:fill="F2F2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1 092</w:t>
            </w:r>
          </w:p>
        </w:tc>
        <w:tc>
          <w:tcPr>
            <w:tcW w:w="992" w:type="dxa"/>
            <w:shd w:val="clear" w:color="auto" w:fill="F2F2F2"/>
            <w:vAlign w:val="center"/>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601</w:t>
            </w:r>
          </w:p>
        </w:tc>
      </w:tr>
      <w:tr w:rsidR="00133BC5" w:rsidRPr="00920E8A" w:rsidTr="006A22F2">
        <w:trPr>
          <w:trHeight w:val="340"/>
        </w:trPr>
        <w:tc>
          <w:tcPr>
            <w:tcW w:w="5495" w:type="dxa"/>
            <w:tcBorders>
              <w:bottom w:val="single" w:sz="4" w:space="0" w:color="auto"/>
            </w:tcBorders>
            <w:vAlign w:val="center"/>
          </w:tcPr>
          <w:p w:rsidR="00133BC5" w:rsidRPr="00704D8F" w:rsidRDefault="00133BC5" w:rsidP="00133BC5">
            <w:pPr>
              <w:spacing w:after="0"/>
              <w:contextualSpacing/>
              <w:rPr>
                <w:rFonts w:ascii="Century" w:hAnsi="Century"/>
                <w:b/>
                <w:bCs/>
                <w:i/>
                <w:sz w:val="20"/>
                <w:szCs w:val="20"/>
              </w:rPr>
            </w:pPr>
            <w:r w:rsidRPr="00704D8F">
              <w:rPr>
                <w:rFonts w:ascii="Century" w:hAnsi="Century"/>
                <w:bCs/>
                <w:i/>
                <w:sz w:val="20"/>
                <w:szCs w:val="20"/>
              </w:rPr>
              <w:t>%% ВВП</w:t>
            </w:r>
          </w:p>
        </w:tc>
        <w:tc>
          <w:tcPr>
            <w:tcW w:w="992" w:type="dxa"/>
            <w:tcBorders>
              <w:bottom w:val="single" w:sz="4" w:space="0" w:color="auto"/>
            </w:tcBorders>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0,3</w:t>
            </w:r>
          </w:p>
        </w:tc>
        <w:tc>
          <w:tcPr>
            <w:tcW w:w="992" w:type="dxa"/>
            <w:tcBorders>
              <w:bottom w:val="single" w:sz="4" w:space="0" w:color="auto"/>
            </w:tcBorders>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1,7</w:t>
            </w:r>
          </w:p>
        </w:tc>
        <w:tc>
          <w:tcPr>
            <w:tcW w:w="992" w:type="dxa"/>
            <w:tcBorders>
              <w:bottom w:val="single" w:sz="4" w:space="0" w:color="auto"/>
            </w:tcBorders>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1,0</w:t>
            </w:r>
          </w:p>
        </w:tc>
        <w:tc>
          <w:tcPr>
            <w:tcW w:w="992" w:type="dxa"/>
            <w:tcBorders>
              <w:bottom w:val="single" w:sz="4" w:space="0" w:color="auto"/>
            </w:tcBorders>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0,5</w:t>
            </w:r>
          </w:p>
        </w:tc>
      </w:tr>
    </w:tbl>
    <w:p w:rsidR="00133BC5" w:rsidRPr="006A22F2" w:rsidRDefault="00133BC5" w:rsidP="006A22F2">
      <w:pPr>
        <w:spacing w:after="120"/>
        <w:jc w:val="both"/>
        <w:rPr>
          <w:rFonts w:ascii="Times New Roman" w:hAnsi="Times New Roman"/>
        </w:rPr>
      </w:pPr>
      <w:r w:rsidRPr="006A22F2">
        <w:rPr>
          <w:rFonts w:ascii="Times New Roman" w:hAnsi="Times New Roman"/>
        </w:rPr>
        <w:t>В структуре расходов бюджетов бюджетной системы по разделам функциональной классификации в 2019-2021 гг. основную долю расходов продолжат занимать расходы на социальную политику (12,0% ВВП в среднем за 2019-2021 гг.), национальную оборону и национальную безопасность (совокупно 4,7% ВВП в 2019-2021 гг.). Тем не менее по мере постепенной консолидации бюджета, оптимизации расходов и повышения их эффективности в течение планового периода ожидается постепенное сокращение доли этих расходов при одновременной стабилизации расходов на человеческий капитал (образование, здравоохранение) на уровне порядка 6,6% ВВП. Реализация национальных проектов позволит увеличить долю расходов на приоритетные направления в целях расшивки узких мест, таких как развитие человеческого капитала, инфраструктуры, цифровой экономики.</w:t>
      </w:r>
    </w:p>
    <w:p w:rsidR="00133BC5" w:rsidRPr="006A22F2" w:rsidRDefault="00133BC5" w:rsidP="006A22F2">
      <w:pPr>
        <w:spacing w:after="120"/>
        <w:jc w:val="both"/>
        <w:rPr>
          <w:rFonts w:ascii="Times New Roman" w:hAnsi="Times New Roman"/>
        </w:rPr>
      </w:pPr>
      <w:r w:rsidRPr="006A22F2">
        <w:rPr>
          <w:rFonts w:ascii="Times New Roman" w:hAnsi="Times New Roman"/>
          <w:b/>
        </w:rPr>
        <w:t>Таблица 4.4.2.</w:t>
      </w:r>
      <w:r w:rsidRPr="006A22F2">
        <w:rPr>
          <w:rFonts w:ascii="Times New Roman" w:hAnsi="Times New Roman"/>
        </w:rPr>
        <w:t xml:space="preserve"> Расходы бюджетов бюджетной системы по разделам функциональной классификации в 2018-2021 гг.</w:t>
      </w:r>
    </w:p>
    <w:p w:rsidR="00133BC5" w:rsidRPr="006A22F2" w:rsidRDefault="00133BC5" w:rsidP="006A22F2">
      <w:pPr>
        <w:spacing w:after="120"/>
        <w:jc w:val="right"/>
        <w:rPr>
          <w:rFonts w:ascii="Times New Roman" w:hAnsi="Times New Roman"/>
          <w:i/>
        </w:rPr>
      </w:pPr>
      <w:r w:rsidRPr="006A22F2">
        <w:rPr>
          <w:rFonts w:ascii="Times New Roman" w:hAnsi="Times New Roman"/>
          <w:i/>
        </w:rPr>
        <w:t>млрд рублей</w:t>
      </w:r>
    </w:p>
    <w:tbl>
      <w:tblPr>
        <w:tblW w:w="10425" w:type="dxa"/>
        <w:tblInd w:w="-578" w:type="dxa"/>
        <w:tblLayout w:type="fixed"/>
        <w:tblLook w:val="00A0" w:firstRow="1" w:lastRow="0" w:firstColumn="1" w:lastColumn="0" w:noHBand="0" w:noVBand="0"/>
      </w:tblPr>
      <w:tblGrid>
        <w:gridCol w:w="3622"/>
        <w:gridCol w:w="849"/>
        <w:gridCol w:w="850"/>
        <w:gridCol w:w="850"/>
        <w:gridCol w:w="851"/>
        <w:gridCol w:w="850"/>
        <w:gridCol w:w="851"/>
        <w:gridCol w:w="852"/>
        <w:gridCol w:w="850"/>
      </w:tblGrid>
      <w:tr w:rsidR="00133BC5" w:rsidRPr="00920E8A" w:rsidTr="00133BC5">
        <w:trPr>
          <w:trHeight w:val="340"/>
        </w:trPr>
        <w:tc>
          <w:tcPr>
            <w:tcW w:w="3622" w:type="dxa"/>
            <w:tcBorders>
              <w:top w:val="nil"/>
              <w:left w:val="nil"/>
              <w:bottom w:val="single" w:sz="4" w:space="0" w:color="auto"/>
              <w:right w:val="nil"/>
            </w:tcBorders>
            <w:hideMark/>
          </w:tcPr>
          <w:p w:rsidR="00133BC5" w:rsidRPr="006A22F2" w:rsidRDefault="00133BC5" w:rsidP="00133BC5">
            <w:pPr>
              <w:spacing w:after="0"/>
              <w:contextualSpacing/>
              <w:rPr>
                <w:rFonts w:ascii="Century" w:hAnsi="Century"/>
                <w:b/>
                <w:bCs/>
              </w:rPr>
            </w:pPr>
            <w:r w:rsidRPr="006A22F2">
              <w:rPr>
                <w:rFonts w:ascii="Century" w:hAnsi="Century"/>
                <w:b/>
                <w:bCs/>
              </w:rPr>
              <w:t>Показатель</w:t>
            </w:r>
          </w:p>
        </w:tc>
        <w:tc>
          <w:tcPr>
            <w:tcW w:w="1699" w:type="dxa"/>
            <w:gridSpan w:val="2"/>
            <w:tcBorders>
              <w:top w:val="nil"/>
              <w:left w:val="nil"/>
              <w:bottom w:val="single" w:sz="4" w:space="0" w:color="auto"/>
              <w:right w:val="nil"/>
            </w:tcBorders>
            <w:hideMark/>
          </w:tcPr>
          <w:p w:rsidR="00133BC5" w:rsidRPr="006A22F2" w:rsidRDefault="00133BC5" w:rsidP="00133BC5">
            <w:pPr>
              <w:spacing w:after="0"/>
              <w:contextualSpacing/>
              <w:jc w:val="center"/>
              <w:rPr>
                <w:rFonts w:ascii="Century" w:hAnsi="Century"/>
                <w:b/>
                <w:bCs/>
              </w:rPr>
            </w:pPr>
            <w:r w:rsidRPr="006A22F2">
              <w:rPr>
                <w:rFonts w:ascii="Century" w:hAnsi="Century"/>
                <w:b/>
                <w:bCs/>
              </w:rPr>
              <w:t>2018</w:t>
            </w:r>
          </w:p>
        </w:tc>
        <w:tc>
          <w:tcPr>
            <w:tcW w:w="1701" w:type="dxa"/>
            <w:gridSpan w:val="2"/>
            <w:tcBorders>
              <w:top w:val="nil"/>
              <w:left w:val="nil"/>
              <w:bottom w:val="single" w:sz="4" w:space="0" w:color="auto"/>
              <w:right w:val="nil"/>
            </w:tcBorders>
            <w:hideMark/>
          </w:tcPr>
          <w:p w:rsidR="00133BC5" w:rsidRPr="006A22F2" w:rsidRDefault="00133BC5" w:rsidP="00133BC5">
            <w:pPr>
              <w:spacing w:after="0"/>
              <w:contextualSpacing/>
              <w:jc w:val="center"/>
              <w:rPr>
                <w:rFonts w:ascii="Century" w:hAnsi="Century"/>
                <w:b/>
                <w:bCs/>
              </w:rPr>
            </w:pPr>
            <w:r w:rsidRPr="006A22F2">
              <w:rPr>
                <w:rFonts w:ascii="Century" w:hAnsi="Century"/>
                <w:b/>
                <w:bCs/>
              </w:rPr>
              <w:t>2019</w:t>
            </w:r>
          </w:p>
        </w:tc>
        <w:tc>
          <w:tcPr>
            <w:tcW w:w="1701" w:type="dxa"/>
            <w:gridSpan w:val="2"/>
            <w:tcBorders>
              <w:top w:val="nil"/>
              <w:left w:val="nil"/>
              <w:bottom w:val="single" w:sz="4" w:space="0" w:color="auto"/>
              <w:right w:val="nil"/>
            </w:tcBorders>
            <w:hideMark/>
          </w:tcPr>
          <w:p w:rsidR="00133BC5" w:rsidRPr="006A22F2" w:rsidRDefault="00133BC5" w:rsidP="00133BC5">
            <w:pPr>
              <w:spacing w:after="0"/>
              <w:contextualSpacing/>
              <w:jc w:val="center"/>
              <w:rPr>
                <w:rFonts w:ascii="Century" w:hAnsi="Century"/>
                <w:b/>
                <w:bCs/>
              </w:rPr>
            </w:pPr>
            <w:r w:rsidRPr="006A22F2">
              <w:rPr>
                <w:rFonts w:ascii="Century" w:hAnsi="Century"/>
                <w:b/>
                <w:bCs/>
              </w:rPr>
              <w:t>2020</w:t>
            </w:r>
          </w:p>
        </w:tc>
        <w:tc>
          <w:tcPr>
            <w:tcW w:w="1702" w:type="dxa"/>
            <w:gridSpan w:val="2"/>
            <w:tcBorders>
              <w:top w:val="nil"/>
              <w:left w:val="nil"/>
              <w:bottom w:val="single" w:sz="4" w:space="0" w:color="auto"/>
              <w:right w:val="nil"/>
            </w:tcBorders>
            <w:hideMark/>
          </w:tcPr>
          <w:p w:rsidR="00133BC5" w:rsidRPr="006A22F2" w:rsidRDefault="00133BC5" w:rsidP="00133BC5">
            <w:pPr>
              <w:spacing w:after="0"/>
              <w:contextualSpacing/>
              <w:jc w:val="center"/>
              <w:rPr>
                <w:rFonts w:ascii="Century" w:hAnsi="Century"/>
                <w:b/>
                <w:bCs/>
              </w:rPr>
            </w:pPr>
            <w:r w:rsidRPr="006A22F2">
              <w:rPr>
                <w:rFonts w:ascii="Century" w:hAnsi="Century"/>
                <w:b/>
                <w:bCs/>
              </w:rPr>
              <w:t>2021</w:t>
            </w:r>
          </w:p>
        </w:tc>
      </w:tr>
      <w:tr w:rsidR="00133BC5" w:rsidRPr="00920E8A" w:rsidTr="00133BC5">
        <w:trPr>
          <w:trHeight w:val="340"/>
        </w:trPr>
        <w:tc>
          <w:tcPr>
            <w:tcW w:w="3622" w:type="dxa"/>
            <w:tcBorders>
              <w:top w:val="single" w:sz="4" w:space="0" w:color="auto"/>
              <w:left w:val="nil"/>
              <w:bottom w:val="nil"/>
              <w:right w:val="nil"/>
            </w:tcBorders>
            <w:shd w:val="clear" w:color="auto" w:fill="F2F2F2"/>
            <w:vAlign w:val="center"/>
          </w:tcPr>
          <w:p w:rsidR="00133BC5" w:rsidRPr="00F35ABB" w:rsidRDefault="00133BC5" w:rsidP="00133BC5">
            <w:pPr>
              <w:spacing w:after="0"/>
              <w:contextualSpacing/>
              <w:rPr>
                <w:rFonts w:ascii="Century" w:hAnsi="Century"/>
                <w:b/>
                <w:bCs/>
                <w:sz w:val="20"/>
                <w:szCs w:val="20"/>
              </w:rPr>
            </w:pPr>
          </w:p>
        </w:tc>
        <w:tc>
          <w:tcPr>
            <w:tcW w:w="849" w:type="dxa"/>
            <w:tcBorders>
              <w:top w:val="single" w:sz="4" w:space="0" w:color="auto"/>
              <w:left w:val="nil"/>
              <w:bottom w:val="nil"/>
              <w:right w:val="nil"/>
            </w:tcBorders>
            <w:shd w:val="clear" w:color="auto" w:fill="F2F2F2"/>
            <w:vAlign w:val="center"/>
          </w:tcPr>
          <w:p w:rsidR="00133BC5" w:rsidRPr="00F35ABB" w:rsidRDefault="00133BC5" w:rsidP="00133BC5">
            <w:pPr>
              <w:spacing w:after="0"/>
              <w:contextualSpacing/>
              <w:jc w:val="right"/>
              <w:rPr>
                <w:rFonts w:ascii="Century" w:hAnsi="Century"/>
                <w:b/>
                <w:bCs/>
                <w:sz w:val="20"/>
                <w:szCs w:val="20"/>
              </w:rPr>
            </w:pPr>
          </w:p>
        </w:tc>
        <w:tc>
          <w:tcPr>
            <w:tcW w:w="850" w:type="dxa"/>
            <w:tcBorders>
              <w:top w:val="single" w:sz="4" w:space="0" w:color="auto"/>
              <w:left w:val="nil"/>
              <w:bottom w:val="nil"/>
              <w:right w:val="nil"/>
            </w:tcBorders>
            <w:shd w:val="clear" w:color="auto" w:fill="F2F2F2"/>
            <w:vAlign w:val="center"/>
            <w:hideMark/>
          </w:tcPr>
          <w:p w:rsidR="00133BC5" w:rsidRPr="00F35ABB" w:rsidRDefault="00133BC5" w:rsidP="00133BC5">
            <w:pPr>
              <w:spacing w:after="0"/>
              <w:ind w:left="-207"/>
              <w:contextualSpacing/>
              <w:jc w:val="right"/>
              <w:rPr>
                <w:rFonts w:ascii="Century" w:hAnsi="Century"/>
                <w:b/>
                <w:bCs/>
                <w:i/>
                <w:sz w:val="20"/>
                <w:szCs w:val="20"/>
              </w:rPr>
            </w:pPr>
            <w:r w:rsidRPr="00F35ABB">
              <w:rPr>
                <w:rFonts w:ascii="Century" w:hAnsi="Century"/>
                <w:i/>
              </w:rPr>
              <w:t>%ВВП</w:t>
            </w:r>
          </w:p>
        </w:tc>
        <w:tc>
          <w:tcPr>
            <w:tcW w:w="850" w:type="dxa"/>
            <w:tcBorders>
              <w:top w:val="single" w:sz="4" w:space="0" w:color="auto"/>
              <w:left w:val="nil"/>
              <w:bottom w:val="nil"/>
              <w:right w:val="nil"/>
            </w:tcBorders>
            <w:shd w:val="clear" w:color="auto" w:fill="F2F2F2"/>
            <w:vAlign w:val="center"/>
          </w:tcPr>
          <w:p w:rsidR="00133BC5" w:rsidRPr="00F35ABB" w:rsidRDefault="00133BC5" w:rsidP="00133BC5">
            <w:pPr>
              <w:spacing w:after="0"/>
              <w:contextualSpacing/>
              <w:jc w:val="right"/>
              <w:rPr>
                <w:rFonts w:ascii="Century" w:hAnsi="Century"/>
                <w:b/>
                <w:bCs/>
                <w:sz w:val="20"/>
                <w:szCs w:val="20"/>
              </w:rPr>
            </w:pPr>
          </w:p>
        </w:tc>
        <w:tc>
          <w:tcPr>
            <w:tcW w:w="851" w:type="dxa"/>
            <w:tcBorders>
              <w:top w:val="single" w:sz="4" w:space="0" w:color="auto"/>
              <w:left w:val="nil"/>
              <w:bottom w:val="nil"/>
              <w:right w:val="nil"/>
            </w:tcBorders>
            <w:shd w:val="clear" w:color="auto" w:fill="F2F2F2"/>
            <w:vAlign w:val="center"/>
            <w:hideMark/>
          </w:tcPr>
          <w:p w:rsidR="00133BC5" w:rsidRPr="00F35ABB" w:rsidRDefault="00133BC5" w:rsidP="00133BC5">
            <w:pPr>
              <w:spacing w:after="0"/>
              <w:ind w:left="-206"/>
              <w:contextualSpacing/>
              <w:jc w:val="right"/>
              <w:rPr>
                <w:rFonts w:ascii="Century" w:hAnsi="Century"/>
                <w:b/>
                <w:bCs/>
                <w:i/>
                <w:sz w:val="20"/>
                <w:szCs w:val="20"/>
              </w:rPr>
            </w:pPr>
            <w:r w:rsidRPr="00F35ABB">
              <w:rPr>
                <w:rFonts w:ascii="Century" w:hAnsi="Century"/>
                <w:i/>
              </w:rPr>
              <w:t>%ВВП</w:t>
            </w:r>
          </w:p>
        </w:tc>
        <w:tc>
          <w:tcPr>
            <w:tcW w:w="850" w:type="dxa"/>
            <w:tcBorders>
              <w:top w:val="single" w:sz="4" w:space="0" w:color="auto"/>
              <w:left w:val="nil"/>
              <w:bottom w:val="nil"/>
              <w:right w:val="nil"/>
            </w:tcBorders>
            <w:shd w:val="clear" w:color="auto" w:fill="F2F2F2"/>
            <w:vAlign w:val="center"/>
          </w:tcPr>
          <w:p w:rsidR="00133BC5" w:rsidRPr="00F35ABB" w:rsidRDefault="00133BC5" w:rsidP="00133BC5">
            <w:pPr>
              <w:spacing w:after="0"/>
              <w:ind w:left="-206"/>
              <w:contextualSpacing/>
              <w:jc w:val="right"/>
              <w:rPr>
                <w:rFonts w:ascii="Century" w:hAnsi="Century"/>
                <w:b/>
                <w:bCs/>
                <w:sz w:val="20"/>
                <w:szCs w:val="20"/>
              </w:rPr>
            </w:pPr>
          </w:p>
        </w:tc>
        <w:tc>
          <w:tcPr>
            <w:tcW w:w="851" w:type="dxa"/>
            <w:tcBorders>
              <w:top w:val="single" w:sz="4" w:space="0" w:color="auto"/>
              <w:left w:val="nil"/>
              <w:bottom w:val="nil"/>
              <w:right w:val="nil"/>
            </w:tcBorders>
            <w:shd w:val="clear" w:color="auto" w:fill="F2F2F2"/>
            <w:vAlign w:val="center"/>
            <w:hideMark/>
          </w:tcPr>
          <w:p w:rsidR="00133BC5" w:rsidRPr="00F35ABB" w:rsidRDefault="00133BC5" w:rsidP="00133BC5">
            <w:pPr>
              <w:spacing w:after="0"/>
              <w:ind w:left="-206"/>
              <w:contextualSpacing/>
              <w:jc w:val="right"/>
              <w:rPr>
                <w:rFonts w:ascii="Century" w:hAnsi="Century"/>
                <w:b/>
                <w:bCs/>
                <w:i/>
                <w:sz w:val="20"/>
                <w:szCs w:val="20"/>
              </w:rPr>
            </w:pPr>
            <w:r w:rsidRPr="00F35ABB">
              <w:rPr>
                <w:rFonts w:ascii="Century" w:hAnsi="Century"/>
                <w:i/>
              </w:rPr>
              <w:t>%ВВП</w:t>
            </w:r>
          </w:p>
        </w:tc>
        <w:tc>
          <w:tcPr>
            <w:tcW w:w="852" w:type="dxa"/>
            <w:tcBorders>
              <w:top w:val="single" w:sz="4" w:space="0" w:color="auto"/>
              <w:left w:val="nil"/>
              <w:bottom w:val="nil"/>
              <w:right w:val="nil"/>
            </w:tcBorders>
            <w:shd w:val="clear" w:color="auto" w:fill="F2F2F2"/>
            <w:vAlign w:val="center"/>
          </w:tcPr>
          <w:p w:rsidR="00133BC5" w:rsidRPr="00F35ABB" w:rsidRDefault="00133BC5" w:rsidP="00133BC5">
            <w:pPr>
              <w:spacing w:after="0"/>
              <w:ind w:left="-206"/>
              <w:contextualSpacing/>
              <w:jc w:val="right"/>
              <w:rPr>
                <w:rFonts w:ascii="Century" w:hAnsi="Century"/>
                <w:b/>
                <w:bCs/>
                <w:sz w:val="20"/>
                <w:szCs w:val="20"/>
              </w:rPr>
            </w:pPr>
          </w:p>
        </w:tc>
        <w:tc>
          <w:tcPr>
            <w:tcW w:w="850" w:type="dxa"/>
            <w:tcBorders>
              <w:top w:val="single" w:sz="4" w:space="0" w:color="auto"/>
              <w:left w:val="nil"/>
              <w:bottom w:val="nil"/>
              <w:right w:val="nil"/>
            </w:tcBorders>
            <w:shd w:val="clear" w:color="auto" w:fill="F2F2F2"/>
            <w:vAlign w:val="center"/>
            <w:hideMark/>
          </w:tcPr>
          <w:p w:rsidR="00133BC5" w:rsidRPr="00F35ABB" w:rsidRDefault="00133BC5" w:rsidP="00133BC5">
            <w:pPr>
              <w:spacing w:after="0"/>
              <w:ind w:left="-206"/>
              <w:contextualSpacing/>
              <w:jc w:val="right"/>
              <w:rPr>
                <w:rFonts w:ascii="Century" w:hAnsi="Century"/>
                <w:b/>
                <w:bCs/>
                <w:i/>
                <w:sz w:val="20"/>
                <w:szCs w:val="20"/>
              </w:rPr>
            </w:pPr>
            <w:r w:rsidRPr="00F35ABB">
              <w:rPr>
                <w:rFonts w:ascii="Century" w:hAnsi="Century"/>
                <w:i/>
              </w:rPr>
              <w:t>%ВВП</w:t>
            </w:r>
          </w:p>
        </w:tc>
      </w:tr>
      <w:tr w:rsidR="00133BC5" w:rsidRPr="00920E8A" w:rsidTr="00133BC5">
        <w:trPr>
          <w:trHeight w:val="340"/>
        </w:trPr>
        <w:tc>
          <w:tcPr>
            <w:tcW w:w="3622" w:type="dxa"/>
            <w:vAlign w:val="center"/>
            <w:hideMark/>
          </w:tcPr>
          <w:p w:rsidR="00133BC5" w:rsidRPr="00920E8A" w:rsidRDefault="00133BC5" w:rsidP="00133BC5">
            <w:pPr>
              <w:spacing w:after="0"/>
              <w:contextualSpacing/>
              <w:rPr>
                <w:rFonts w:ascii="Century" w:hAnsi="Century"/>
                <w:b/>
                <w:bCs/>
                <w:sz w:val="20"/>
                <w:szCs w:val="20"/>
              </w:rPr>
            </w:pPr>
            <w:r w:rsidRPr="00920E8A">
              <w:rPr>
                <w:rFonts w:ascii="Century" w:hAnsi="Century"/>
                <w:b/>
                <w:bCs/>
                <w:sz w:val="20"/>
                <w:szCs w:val="20"/>
              </w:rPr>
              <w:t>Всего</w:t>
            </w:r>
          </w:p>
        </w:tc>
        <w:tc>
          <w:tcPr>
            <w:tcW w:w="849" w:type="dxa"/>
            <w:vAlign w:val="center"/>
            <w:hideMark/>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34 015</w:t>
            </w:r>
          </w:p>
        </w:tc>
        <w:tc>
          <w:tcPr>
            <w:tcW w:w="850" w:type="dxa"/>
            <w:vAlign w:val="center"/>
            <w:hideMark/>
          </w:tcPr>
          <w:p w:rsidR="00133BC5" w:rsidRDefault="00133BC5" w:rsidP="00133BC5">
            <w:pPr>
              <w:spacing w:after="0"/>
              <w:contextualSpacing/>
              <w:jc w:val="right"/>
              <w:rPr>
                <w:rFonts w:ascii="Century" w:hAnsi="Century"/>
                <w:b/>
                <w:bCs/>
                <w:i/>
                <w:iCs/>
                <w:sz w:val="20"/>
                <w:szCs w:val="20"/>
              </w:rPr>
            </w:pPr>
            <w:r>
              <w:rPr>
                <w:rFonts w:ascii="Century" w:hAnsi="Century"/>
                <w:b/>
                <w:bCs/>
                <w:i/>
                <w:iCs/>
                <w:sz w:val="20"/>
                <w:szCs w:val="20"/>
              </w:rPr>
              <w:t>33,8</w:t>
            </w:r>
          </w:p>
        </w:tc>
        <w:tc>
          <w:tcPr>
            <w:tcW w:w="850" w:type="dxa"/>
            <w:vAlign w:val="center"/>
            <w:hideMark/>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36 257</w:t>
            </w:r>
          </w:p>
        </w:tc>
        <w:tc>
          <w:tcPr>
            <w:tcW w:w="851" w:type="dxa"/>
            <w:vAlign w:val="center"/>
            <w:hideMark/>
          </w:tcPr>
          <w:p w:rsidR="00133BC5" w:rsidRDefault="00133BC5" w:rsidP="00133BC5">
            <w:pPr>
              <w:spacing w:after="0"/>
              <w:contextualSpacing/>
              <w:jc w:val="right"/>
              <w:rPr>
                <w:rFonts w:ascii="Century" w:hAnsi="Century"/>
                <w:b/>
                <w:bCs/>
                <w:i/>
                <w:iCs/>
                <w:sz w:val="20"/>
                <w:szCs w:val="20"/>
              </w:rPr>
            </w:pPr>
            <w:r>
              <w:rPr>
                <w:rFonts w:ascii="Century" w:hAnsi="Century"/>
                <w:b/>
                <w:bCs/>
                <w:i/>
                <w:iCs/>
                <w:sz w:val="20"/>
                <w:szCs w:val="20"/>
              </w:rPr>
              <w:t>34,2</w:t>
            </w:r>
          </w:p>
        </w:tc>
        <w:tc>
          <w:tcPr>
            <w:tcW w:w="850" w:type="dxa"/>
            <w:vAlign w:val="center"/>
            <w:hideMark/>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38 087</w:t>
            </w:r>
          </w:p>
        </w:tc>
        <w:tc>
          <w:tcPr>
            <w:tcW w:w="851" w:type="dxa"/>
            <w:vAlign w:val="center"/>
            <w:hideMark/>
          </w:tcPr>
          <w:p w:rsidR="00133BC5" w:rsidRDefault="00133BC5" w:rsidP="00133BC5">
            <w:pPr>
              <w:spacing w:after="0"/>
              <w:contextualSpacing/>
              <w:jc w:val="right"/>
              <w:rPr>
                <w:rFonts w:ascii="Century" w:hAnsi="Century"/>
                <w:b/>
                <w:bCs/>
                <w:i/>
                <w:iCs/>
                <w:sz w:val="20"/>
                <w:szCs w:val="20"/>
              </w:rPr>
            </w:pPr>
            <w:r>
              <w:rPr>
                <w:rFonts w:ascii="Century" w:hAnsi="Century"/>
                <w:b/>
                <w:bCs/>
                <w:i/>
                <w:iCs/>
                <w:sz w:val="20"/>
                <w:szCs w:val="20"/>
              </w:rPr>
              <w:t>34,1</w:t>
            </w:r>
          </w:p>
        </w:tc>
        <w:tc>
          <w:tcPr>
            <w:tcW w:w="852" w:type="dxa"/>
            <w:vAlign w:val="center"/>
            <w:hideMark/>
          </w:tcPr>
          <w:p w:rsidR="00133BC5" w:rsidRDefault="00133BC5" w:rsidP="00133BC5">
            <w:pPr>
              <w:spacing w:after="0"/>
              <w:contextualSpacing/>
              <w:jc w:val="right"/>
              <w:rPr>
                <w:rFonts w:ascii="Century" w:hAnsi="Century"/>
                <w:b/>
                <w:bCs/>
                <w:sz w:val="20"/>
                <w:szCs w:val="20"/>
              </w:rPr>
            </w:pPr>
            <w:r>
              <w:rPr>
                <w:rFonts w:ascii="Century" w:hAnsi="Century"/>
                <w:b/>
                <w:bCs/>
                <w:sz w:val="20"/>
                <w:szCs w:val="20"/>
              </w:rPr>
              <w:t>40 386</w:t>
            </w:r>
          </w:p>
        </w:tc>
        <w:tc>
          <w:tcPr>
            <w:tcW w:w="850" w:type="dxa"/>
            <w:vAlign w:val="center"/>
            <w:hideMark/>
          </w:tcPr>
          <w:p w:rsidR="00133BC5" w:rsidRDefault="00133BC5" w:rsidP="00133BC5">
            <w:pPr>
              <w:spacing w:after="0"/>
              <w:contextualSpacing/>
              <w:jc w:val="right"/>
              <w:rPr>
                <w:rFonts w:ascii="Century" w:hAnsi="Century"/>
                <w:b/>
                <w:bCs/>
                <w:i/>
                <w:iCs/>
                <w:sz w:val="20"/>
                <w:szCs w:val="20"/>
              </w:rPr>
            </w:pPr>
            <w:r>
              <w:rPr>
                <w:rFonts w:ascii="Century" w:hAnsi="Century"/>
                <w:b/>
                <w:bCs/>
                <w:i/>
                <w:iCs/>
                <w:sz w:val="20"/>
                <w:szCs w:val="20"/>
              </w:rPr>
              <w:t>33,8</w:t>
            </w:r>
          </w:p>
        </w:tc>
      </w:tr>
      <w:tr w:rsidR="00133BC5" w:rsidRPr="00920E8A" w:rsidTr="00133BC5">
        <w:trPr>
          <w:trHeight w:val="340"/>
        </w:trPr>
        <w:tc>
          <w:tcPr>
            <w:tcW w:w="3622" w:type="dxa"/>
            <w:shd w:val="clear" w:color="auto" w:fill="F2F2F2"/>
            <w:vAlign w:val="center"/>
            <w:hideMark/>
          </w:tcPr>
          <w:p w:rsidR="00133BC5" w:rsidRPr="00920E8A" w:rsidRDefault="00133BC5" w:rsidP="00133BC5">
            <w:pPr>
              <w:spacing w:after="0"/>
              <w:contextualSpacing/>
              <w:rPr>
                <w:rFonts w:ascii="Century" w:hAnsi="Century"/>
                <w:b/>
                <w:bCs/>
                <w:i/>
                <w:iCs/>
                <w:sz w:val="20"/>
                <w:szCs w:val="20"/>
                <w:lang w:eastAsia="ru-RU"/>
              </w:rPr>
            </w:pPr>
            <w:r w:rsidRPr="00920E8A">
              <w:rPr>
                <w:rFonts w:ascii="Century" w:hAnsi="Century"/>
                <w:bCs/>
                <w:sz w:val="20"/>
                <w:szCs w:val="20"/>
              </w:rPr>
              <w:t>Общегосударственные вопросы</w:t>
            </w:r>
          </w:p>
        </w:tc>
        <w:tc>
          <w:tcPr>
            <w:tcW w:w="849"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1 997</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2,0</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1 994</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1,9</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2 018</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1,8</w:t>
            </w:r>
          </w:p>
        </w:tc>
        <w:tc>
          <w:tcPr>
            <w:tcW w:w="852"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2 086</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1,7</w:t>
            </w:r>
          </w:p>
        </w:tc>
      </w:tr>
      <w:tr w:rsidR="00133BC5" w:rsidRPr="00920E8A" w:rsidTr="00133BC5">
        <w:trPr>
          <w:trHeight w:val="340"/>
        </w:trPr>
        <w:tc>
          <w:tcPr>
            <w:tcW w:w="3622" w:type="dxa"/>
            <w:vAlign w:val="center"/>
            <w:hideMark/>
          </w:tcPr>
          <w:p w:rsidR="00133BC5" w:rsidRPr="00920E8A" w:rsidRDefault="00133BC5" w:rsidP="00133BC5">
            <w:pPr>
              <w:spacing w:after="0"/>
              <w:contextualSpacing/>
              <w:rPr>
                <w:rFonts w:ascii="Century" w:hAnsi="Century"/>
                <w:b/>
                <w:bCs/>
                <w:sz w:val="20"/>
                <w:szCs w:val="20"/>
                <w:u w:val="single"/>
              </w:rPr>
            </w:pPr>
            <w:r w:rsidRPr="00920E8A">
              <w:rPr>
                <w:rFonts w:ascii="Century" w:hAnsi="Century"/>
                <w:bCs/>
                <w:sz w:val="20"/>
                <w:szCs w:val="20"/>
              </w:rPr>
              <w:t>Национальная оборона</w:t>
            </w:r>
          </w:p>
        </w:tc>
        <w:tc>
          <w:tcPr>
            <w:tcW w:w="849"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2 799</w:t>
            </w:r>
          </w:p>
        </w:tc>
        <w:tc>
          <w:tcPr>
            <w:tcW w:w="850"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2,8</w:t>
            </w:r>
          </w:p>
        </w:tc>
        <w:tc>
          <w:tcPr>
            <w:tcW w:w="850"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2 785</w:t>
            </w:r>
          </w:p>
        </w:tc>
        <w:tc>
          <w:tcPr>
            <w:tcW w:w="851"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2,6</w:t>
            </w:r>
          </w:p>
        </w:tc>
        <w:tc>
          <w:tcPr>
            <w:tcW w:w="850"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2 862</w:t>
            </w:r>
          </w:p>
        </w:tc>
        <w:tc>
          <w:tcPr>
            <w:tcW w:w="851"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2,6</w:t>
            </w:r>
          </w:p>
        </w:tc>
        <w:tc>
          <w:tcPr>
            <w:tcW w:w="852"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2 983</w:t>
            </w:r>
          </w:p>
        </w:tc>
        <w:tc>
          <w:tcPr>
            <w:tcW w:w="850"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2,5</w:t>
            </w:r>
          </w:p>
        </w:tc>
      </w:tr>
      <w:tr w:rsidR="00133BC5" w:rsidRPr="00920E8A" w:rsidTr="00133BC5">
        <w:trPr>
          <w:trHeight w:val="340"/>
        </w:trPr>
        <w:tc>
          <w:tcPr>
            <w:tcW w:w="3622" w:type="dxa"/>
            <w:shd w:val="clear" w:color="auto" w:fill="F2F2F2"/>
            <w:vAlign w:val="center"/>
            <w:hideMark/>
          </w:tcPr>
          <w:p w:rsidR="00133BC5" w:rsidRPr="00920E8A" w:rsidRDefault="00133BC5" w:rsidP="00133BC5">
            <w:pPr>
              <w:spacing w:after="0"/>
              <w:contextualSpacing/>
              <w:rPr>
                <w:rFonts w:ascii="Century" w:hAnsi="Century"/>
                <w:b/>
                <w:bCs/>
                <w:i/>
                <w:sz w:val="18"/>
                <w:szCs w:val="20"/>
              </w:rPr>
            </w:pPr>
            <w:r w:rsidRPr="00920E8A">
              <w:rPr>
                <w:rFonts w:ascii="Century" w:hAnsi="Century"/>
                <w:bCs/>
                <w:sz w:val="20"/>
                <w:szCs w:val="20"/>
              </w:rPr>
              <w:t>Национальная безопасность и правоохранительная деятельность</w:t>
            </w:r>
          </w:p>
        </w:tc>
        <w:tc>
          <w:tcPr>
            <w:tcW w:w="849"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2 231</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2,2</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2 314</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2,2</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2 395</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2,1</w:t>
            </w:r>
          </w:p>
        </w:tc>
        <w:tc>
          <w:tcPr>
            <w:tcW w:w="852"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2 465</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2,1</w:t>
            </w:r>
          </w:p>
        </w:tc>
      </w:tr>
      <w:tr w:rsidR="00133BC5" w:rsidRPr="00920E8A" w:rsidTr="00133BC5">
        <w:trPr>
          <w:trHeight w:val="340"/>
        </w:trPr>
        <w:tc>
          <w:tcPr>
            <w:tcW w:w="3622" w:type="dxa"/>
            <w:vAlign w:val="center"/>
            <w:hideMark/>
          </w:tcPr>
          <w:p w:rsidR="00133BC5" w:rsidRPr="00920E8A" w:rsidRDefault="00133BC5" w:rsidP="00133BC5">
            <w:pPr>
              <w:spacing w:after="0"/>
              <w:contextualSpacing/>
              <w:rPr>
                <w:rFonts w:ascii="Century" w:hAnsi="Century"/>
                <w:b/>
                <w:bCs/>
                <w:sz w:val="20"/>
                <w:szCs w:val="20"/>
              </w:rPr>
            </w:pPr>
            <w:r w:rsidRPr="00920E8A">
              <w:rPr>
                <w:rFonts w:ascii="Century" w:hAnsi="Century"/>
                <w:bCs/>
                <w:sz w:val="20"/>
                <w:szCs w:val="20"/>
              </w:rPr>
              <w:t>Национальная экономика</w:t>
            </w:r>
          </w:p>
        </w:tc>
        <w:tc>
          <w:tcPr>
            <w:tcW w:w="849"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4 378</w:t>
            </w:r>
          </w:p>
        </w:tc>
        <w:tc>
          <w:tcPr>
            <w:tcW w:w="850"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4,4</w:t>
            </w:r>
          </w:p>
        </w:tc>
        <w:tc>
          <w:tcPr>
            <w:tcW w:w="850"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4 338</w:t>
            </w:r>
          </w:p>
        </w:tc>
        <w:tc>
          <w:tcPr>
            <w:tcW w:w="851"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4,1</w:t>
            </w:r>
          </w:p>
        </w:tc>
        <w:tc>
          <w:tcPr>
            <w:tcW w:w="850"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4 451</w:t>
            </w:r>
          </w:p>
        </w:tc>
        <w:tc>
          <w:tcPr>
            <w:tcW w:w="851"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4,0</w:t>
            </w:r>
          </w:p>
        </w:tc>
        <w:tc>
          <w:tcPr>
            <w:tcW w:w="852"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4 698</w:t>
            </w:r>
          </w:p>
        </w:tc>
        <w:tc>
          <w:tcPr>
            <w:tcW w:w="850"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3,9</w:t>
            </w:r>
          </w:p>
        </w:tc>
      </w:tr>
      <w:tr w:rsidR="00133BC5" w:rsidRPr="00920E8A" w:rsidTr="00133BC5">
        <w:trPr>
          <w:trHeight w:val="340"/>
        </w:trPr>
        <w:tc>
          <w:tcPr>
            <w:tcW w:w="3622" w:type="dxa"/>
            <w:shd w:val="clear" w:color="auto" w:fill="F2F2F2"/>
            <w:vAlign w:val="center"/>
            <w:hideMark/>
          </w:tcPr>
          <w:p w:rsidR="00133BC5" w:rsidRPr="00920E8A" w:rsidRDefault="00133BC5" w:rsidP="00133BC5">
            <w:pPr>
              <w:spacing w:after="0"/>
              <w:contextualSpacing/>
              <w:rPr>
                <w:rFonts w:ascii="Century" w:hAnsi="Century"/>
                <w:b/>
                <w:bCs/>
                <w:i/>
                <w:sz w:val="18"/>
                <w:szCs w:val="20"/>
              </w:rPr>
            </w:pPr>
            <w:r w:rsidRPr="00920E8A">
              <w:rPr>
                <w:rFonts w:ascii="Century" w:hAnsi="Century"/>
                <w:bCs/>
                <w:sz w:val="20"/>
                <w:szCs w:val="20"/>
              </w:rPr>
              <w:t>Жилищно-коммунальное хозяйство</w:t>
            </w:r>
          </w:p>
        </w:tc>
        <w:tc>
          <w:tcPr>
            <w:tcW w:w="849"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1 347</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1,3</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1 374</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1,3</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1 406</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1,3</w:t>
            </w:r>
          </w:p>
        </w:tc>
        <w:tc>
          <w:tcPr>
            <w:tcW w:w="852"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1 472</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1,2</w:t>
            </w:r>
          </w:p>
        </w:tc>
      </w:tr>
      <w:tr w:rsidR="00133BC5" w:rsidRPr="00920E8A" w:rsidTr="00133BC5">
        <w:trPr>
          <w:trHeight w:val="340"/>
        </w:trPr>
        <w:tc>
          <w:tcPr>
            <w:tcW w:w="3622" w:type="dxa"/>
            <w:vAlign w:val="center"/>
            <w:hideMark/>
          </w:tcPr>
          <w:p w:rsidR="00133BC5" w:rsidRPr="00920E8A" w:rsidRDefault="00133BC5" w:rsidP="00133BC5">
            <w:pPr>
              <w:spacing w:after="0"/>
              <w:contextualSpacing/>
              <w:rPr>
                <w:rFonts w:ascii="Century" w:hAnsi="Century"/>
                <w:b/>
                <w:bCs/>
                <w:sz w:val="20"/>
                <w:szCs w:val="20"/>
              </w:rPr>
            </w:pPr>
            <w:r w:rsidRPr="00920E8A">
              <w:rPr>
                <w:rFonts w:ascii="Century" w:hAnsi="Century"/>
                <w:bCs/>
                <w:sz w:val="20"/>
                <w:szCs w:val="20"/>
              </w:rPr>
              <w:t>Охрана окружающей среды</w:t>
            </w:r>
          </w:p>
        </w:tc>
        <w:tc>
          <w:tcPr>
            <w:tcW w:w="849"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124</w:t>
            </w:r>
          </w:p>
        </w:tc>
        <w:tc>
          <w:tcPr>
            <w:tcW w:w="850"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0,1</w:t>
            </w:r>
          </w:p>
        </w:tc>
        <w:tc>
          <w:tcPr>
            <w:tcW w:w="850"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129</w:t>
            </w:r>
          </w:p>
        </w:tc>
        <w:tc>
          <w:tcPr>
            <w:tcW w:w="851"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0,1</w:t>
            </w:r>
          </w:p>
        </w:tc>
        <w:tc>
          <w:tcPr>
            <w:tcW w:w="850"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133</w:t>
            </w:r>
          </w:p>
        </w:tc>
        <w:tc>
          <w:tcPr>
            <w:tcW w:w="851"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0,1</w:t>
            </w:r>
          </w:p>
        </w:tc>
        <w:tc>
          <w:tcPr>
            <w:tcW w:w="852"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137</w:t>
            </w:r>
          </w:p>
        </w:tc>
        <w:tc>
          <w:tcPr>
            <w:tcW w:w="850"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0,1</w:t>
            </w:r>
          </w:p>
        </w:tc>
      </w:tr>
      <w:tr w:rsidR="00133BC5" w:rsidRPr="00920E8A" w:rsidTr="00133BC5">
        <w:trPr>
          <w:trHeight w:val="340"/>
        </w:trPr>
        <w:tc>
          <w:tcPr>
            <w:tcW w:w="3622" w:type="dxa"/>
            <w:shd w:val="clear" w:color="auto" w:fill="F2F2F2"/>
            <w:vAlign w:val="center"/>
            <w:hideMark/>
          </w:tcPr>
          <w:p w:rsidR="00133BC5" w:rsidRPr="00920E8A" w:rsidRDefault="00133BC5" w:rsidP="00133BC5">
            <w:pPr>
              <w:spacing w:after="0"/>
              <w:contextualSpacing/>
              <w:rPr>
                <w:rFonts w:ascii="Century" w:hAnsi="Century"/>
                <w:b/>
                <w:bCs/>
                <w:i/>
                <w:sz w:val="18"/>
                <w:szCs w:val="20"/>
              </w:rPr>
            </w:pPr>
            <w:r w:rsidRPr="00920E8A">
              <w:rPr>
                <w:rFonts w:ascii="Century" w:hAnsi="Century"/>
                <w:bCs/>
                <w:sz w:val="20"/>
                <w:szCs w:val="20"/>
              </w:rPr>
              <w:t>Образование</w:t>
            </w:r>
          </w:p>
        </w:tc>
        <w:tc>
          <w:tcPr>
            <w:tcW w:w="849"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3 565</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3,5</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3 723</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3,5</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3 852</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3,5</w:t>
            </w:r>
          </w:p>
        </w:tc>
        <w:tc>
          <w:tcPr>
            <w:tcW w:w="852"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4 060</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3,4</w:t>
            </w:r>
          </w:p>
        </w:tc>
      </w:tr>
      <w:tr w:rsidR="00133BC5" w:rsidRPr="00920E8A" w:rsidTr="00133BC5">
        <w:trPr>
          <w:trHeight w:val="340"/>
        </w:trPr>
        <w:tc>
          <w:tcPr>
            <w:tcW w:w="3622" w:type="dxa"/>
            <w:vAlign w:val="center"/>
            <w:hideMark/>
          </w:tcPr>
          <w:p w:rsidR="00133BC5" w:rsidRPr="00920E8A" w:rsidRDefault="00133BC5" w:rsidP="00133BC5">
            <w:pPr>
              <w:spacing w:after="0"/>
              <w:contextualSpacing/>
              <w:rPr>
                <w:rFonts w:ascii="Century" w:hAnsi="Century"/>
                <w:b/>
                <w:bCs/>
                <w:sz w:val="20"/>
                <w:szCs w:val="20"/>
              </w:rPr>
            </w:pPr>
            <w:r w:rsidRPr="00920E8A">
              <w:rPr>
                <w:rFonts w:ascii="Century" w:hAnsi="Century"/>
                <w:bCs/>
                <w:sz w:val="20"/>
                <w:szCs w:val="20"/>
              </w:rPr>
              <w:t>Культура, кинематография</w:t>
            </w:r>
          </w:p>
        </w:tc>
        <w:tc>
          <w:tcPr>
            <w:tcW w:w="849"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562</w:t>
            </w:r>
          </w:p>
        </w:tc>
        <w:tc>
          <w:tcPr>
            <w:tcW w:w="850"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0,6</w:t>
            </w:r>
          </w:p>
        </w:tc>
        <w:tc>
          <w:tcPr>
            <w:tcW w:w="850"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582</w:t>
            </w:r>
          </w:p>
        </w:tc>
        <w:tc>
          <w:tcPr>
            <w:tcW w:w="851"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0,5</w:t>
            </w:r>
          </w:p>
        </w:tc>
        <w:tc>
          <w:tcPr>
            <w:tcW w:w="850"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595</w:t>
            </w:r>
          </w:p>
        </w:tc>
        <w:tc>
          <w:tcPr>
            <w:tcW w:w="851"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0,5</w:t>
            </w:r>
          </w:p>
        </w:tc>
        <w:tc>
          <w:tcPr>
            <w:tcW w:w="852"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624</w:t>
            </w:r>
          </w:p>
        </w:tc>
        <w:tc>
          <w:tcPr>
            <w:tcW w:w="850"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0,5</w:t>
            </w:r>
          </w:p>
        </w:tc>
      </w:tr>
      <w:tr w:rsidR="00133BC5" w:rsidRPr="00920E8A" w:rsidTr="00133BC5">
        <w:trPr>
          <w:trHeight w:val="340"/>
        </w:trPr>
        <w:tc>
          <w:tcPr>
            <w:tcW w:w="3622" w:type="dxa"/>
            <w:shd w:val="clear" w:color="auto" w:fill="F2F2F2"/>
            <w:vAlign w:val="center"/>
            <w:hideMark/>
          </w:tcPr>
          <w:p w:rsidR="00133BC5" w:rsidRPr="00920E8A" w:rsidRDefault="00133BC5" w:rsidP="00133BC5">
            <w:pPr>
              <w:spacing w:after="0"/>
              <w:contextualSpacing/>
              <w:rPr>
                <w:rFonts w:ascii="Century" w:hAnsi="Century"/>
                <w:b/>
                <w:bCs/>
                <w:sz w:val="18"/>
                <w:szCs w:val="20"/>
              </w:rPr>
            </w:pPr>
            <w:r w:rsidRPr="00920E8A">
              <w:rPr>
                <w:rFonts w:ascii="Century" w:hAnsi="Century"/>
                <w:bCs/>
                <w:sz w:val="20"/>
                <w:szCs w:val="20"/>
              </w:rPr>
              <w:t>Здравоохранение</w:t>
            </w:r>
          </w:p>
        </w:tc>
        <w:tc>
          <w:tcPr>
            <w:tcW w:w="849"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3 300</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3,3</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3 437</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3,2</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3 558</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3,2</w:t>
            </w:r>
          </w:p>
        </w:tc>
        <w:tc>
          <w:tcPr>
            <w:tcW w:w="852"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3 730</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3,1</w:t>
            </w:r>
          </w:p>
        </w:tc>
      </w:tr>
      <w:tr w:rsidR="00133BC5" w:rsidRPr="00920E8A" w:rsidTr="00133BC5">
        <w:trPr>
          <w:trHeight w:val="340"/>
        </w:trPr>
        <w:tc>
          <w:tcPr>
            <w:tcW w:w="3622" w:type="dxa"/>
            <w:vAlign w:val="center"/>
            <w:hideMark/>
          </w:tcPr>
          <w:p w:rsidR="00133BC5" w:rsidRPr="00920E8A" w:rsidRDefault="00133BC5" w:rsidP="00133BC5">
            <w:pPr>
              <w:spacing w:after="0"/>
              <w:contextualSpacing/>
              <w:rPr>
                <w:rFonts w:ascii="Century" w:hAnsi="Century"/>
                <w:b/>
                <w:bCs/>
                <w:sz w:val="20"/>
                <w:szCs w:val="20"/>
              </w:rPr>
            </w:pPr>
            <w:r w:rsidRPr="00920E8A">
              <w:rPr>
                <w:rFonts w:ascii="Century" w:hAnsi="Century"/>
                <w:bCs/>
                <w:sz w:val="20"/>
                <w:szCs w:val="20"/>
              </w:rPr>
              <w:t>Социальная политика</w:t>
            </w:r>
          </w:p>
        </w:tc>
        <w:tc>
          <w:tcPr>
            <w:tcW w:w="849"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12 305</w:t>
            </w:r>
          </w:p>
        </w:tc>
        <w:tc>
          <w:tcPr>
            <w:tcW w:w="850"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12,2</w:t>
            </w:r>
          </w:p>
        </w:tc>
        <w:tc>
          <w:tcPr>
            <w:tcW w:w="850"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12 973</w:t>
            </w:r>
          </w:p>
        </w:tc>
        <w:tc>
          <w:tcPr>
            <w:tcW w:w="851"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12,2</w:t>
            </w:r>
          </w:p>
        </w:tc>
        <w:tc>
          <w:tcPr>
            <w:tcW w:w="850"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13 529</w:t>
            </w:r>
          </w:p>
        </w:tc>
        <w:tc>
          <w:tcPr>
            <w:tcW w:w="851"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12,1</w:t>
            </w:r>
          </w:p>
        </w:tc>
        <w:tc>
          <w:tcPr>
            <w:tcW w:w="852"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13 969</w:t>
            </w:r>
          </w:p>
        </w:tc>
        <w:tc>
          <w:tcPr>
            <w:tcW w:w="850"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11,7</w:t>
            </w:r>
          </w:p>
        </w:tc>
      </w:tr>
      <w:tr w:rsidR="00133BC5" w:rsidRPr="00920E8A" w:rsidTr="00133BC5">
        <w:trPr>
          <w:trHeight w:val="340"/>
        </w:trPr>
        <w:tc>
          <w:tcPr>
            <w:tcW w:w="3622" w:type="dxa"/>
            <w:shd w:val="clear" w:color="auto" w:fill="F2F2F2"/>
            <w:vAlign w:val="center"/>
            <w:hideMark/>
          </w:tcPr>
          <w:p w:rsidR="00133BC5" w:rsidRPr="00920E8A" w:rsidRDefault="00133BC5" w:rsidP="00133BC5">
            <w:pPr>
              <w:spacing w:after="0"/>
              <w:contextualSpacing/>
              <w:rPr>
                <w:rFonts w:ascii="Century" w:hAnsi="Century"/>
                <w:b/>
                <w:bCs/>
                <w:sz w:val="18"/>
                <w:szCs w:val="20"/>
              </w:rPr>
            </w:pPr>
            <w:r w:rsidRPr="00920E8A">
              <w:rPr>
                <w:rFonts w:ascii="Century" w:hAnsi="Century"/>
                <w:bCs/>
                <w:sz w:val="20"/>
                <w:szCs w:val="20"/>
              </w:rPr>
              <w:t>Физическая культура и спорт</w:t>
            </w:r>
          </w:p>
        </w:tc>
        <w:tc>
          <w:tcPr>
            <w:tcW w:w="849"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318</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0,3</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302</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0,3</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313</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0,3</w:t>
            </w:r>
          </w:p>
        </w:tc>
        <w:tc>
          <w:tcPr>
            <w:tcW w:w="852"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324</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0,3</w:t>
            </w:r>
          </w:p>
        </w:tc>
      </w:tr>
      <w:tr w:rsidR="00133BC5" w:rsidRPr="00920E8A" w:rsidTr="00133BC5">
        <w:trPr>
          <w:trHeight w:val="340"/>
        </w:trPr>
        <w:tc>
          <w:tcPr>
            <w:tcW w:w="3622" w:type="dxa"/>
            <w:vAlign w:val="center"/>
            <w:hideMark/>
          </w:tcPr>
          <w:p w:rsidR="00133BC5" w:rsidRPr="00920E8A" w:rsidRDefault="00133BC5" w:rsidP="00133BC5">
            <w:pPr>
              <w:spacing w:after="0"/>
              <w:contextualSpacing/>
              <w:rPr>
                <w:rFonts w:ascii="Century" w:hAnsi="Century"/>
                <w:b/>
                <w:bCs/>
                <w:sz w:val="20"/>
                <w:szCs w:val="20"/>
              </w:rPr>
            </w:pPr>
            <w:r w:rsidRPr="00920E8A">
              <w:rPr>
                <w:rFonts w:ascii="Century" w:hAnsi="Century"/>
                <w:bCs/>
                <w:sz w:val="20"/>
                <w:szCs w:val="20"/>
              </w:rPr>
              <w:t>Средства массовой информации</w:t>
            </w:r>
          </w:p>
        </w:tc>
        <w:tc>
          <w:tcPr>
            <w:tcW w:w="849"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128</w:t>
            </w:r>
          </w:p>
        </w:tc>
        <w:tc>
          <w:tcPr>
            <w:tcW w:w="850"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0,1</w:t>
            </w:r>
          </w:p>
        </w:tc>
        <w:tc>
          <w:tcPr>
            <w:tcW w:w="850"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112</w:t>
            </w:r>
          </w:p>
        </w:tc>
        <w:tc>
          <w:tcPr>
            <w:tcW w:w="851"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0,1</w:t>
            </w:r>
          </w:p>
        </w:tc>
        <w:tc>
          <w:tcPr>
            <w:tcW w:w="850"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112</w:t>
            </w:r>
          </w:p>
        </w:tc>
        <w:tc>
          <w:tcPr>
            <w:tcW w:w="851"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0,1</w:t>
            </w:r>
          </w:p>
        </w:tc>
        <w:tc>
          <w:tcPr>
            <w:tcW w:w="852" w:type="dxa"/>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113</w:t>
            </w:r>
          </w:p>
        </w:tc>
        <w:tc>
          <w:tcPr>
            <w:tcW w:w="850" w:type="dxa"/>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0,1</w:t>
            </w:r>
          </w:p>
        </w:tc>
      </w:tr>
      <w:tr w:rsidR="00133BC5" w:rsidRPr="00920E8A" w:rsidTr="00133BC5">
        <w:trPr>
          <w:trHeight w:val="198"/>
        </w:trPr>
        <w:tc>
          <w:tcPr>
            <w:tcW w:w="3622" w:type="dxa"/>
            <w:shd w:val="clear" w:color="auto" w:fill="F2F2F2"/>
            <w:vAlign w:val="center"/>
            <w:hideMark/>
          </w:tcPr>
          <w:p w:rsidR="00133BC5" w:rsidRPr="00920E8A" w:rsidRDefault="00133BC5" w:rsidP="00133BC5">
            <w:pPr>
              <w:spacing w:after="0"/>
              <w:contextualSpacing/>
              <w:rPr>
                <w:rFonts w:ascii="Century" w:hAnsi="Century"/>
                <w:b/>
                <w:bCs/>
                <w:sz w:val="20"/>
                <w:szCs w:val="20"/>
              </w:rPr>
            </w:pPr>
            <w:r w:rsidRPr="00920E8A">
              <w:rPr>
                <w:rFonts w:ascii="Century" w:hAnsi="Century"/>
                <w:bCs/>
                <w:sz w:val="20"/>
                <w:szCs w:val="20"/>
              </w:rPr>
              <w:t>Обслуживание государственного и муниципального долга</w:t>
            </w:r>
          </w:p>
        </w:tc>
        <w:tc>
          <w:tcPr>
            <w:tcW w:w="849"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960</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1,0</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1 023</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1,0</w:t>
            </w:r>
          </w:p>
        </w:tc>
        <w:tc>
          <w:tcPr>
            <w:tcW w:w="850"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1 144</w:t>
            </w:r>
          </w:p>
        </w:tc>
        <w:tc>
          <w:tcPr>
            <w:tcW w:w="851"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1,0</w:t>
            </w:r>
          </w:p>
        </w:tc>
        <w:tc>
          <w:tcPr>
            <w:tcW w:w="852" w:type="dxa"/>
            <w:shd w:val="clear" w:color="auto" w:fill="F2F2F2"/>
            <w:vAlign w:val="center"/>
            <w:hideMark/>
          </w:tcPr>
          <w:p w:rsidR="00133BC5" w:rsidRDefault="00133BC5" w:rsidP="00133BC5">
            <w:pPr>
              <w:spacing w:after="0"/>
              <w:contextualSpacing/>
              <w:jc w:val="right"/>
              <w:rPr>
                <w:rFonts w:ascii="Century" w:hAnsi="Century"/>
                <w:sz w:val="20"/>
                <w:szCs w:val="20"/>
              </w:rPr>
            </w:pPr>
            <w:r>
              <w:rPr>
                <w:rFonts w:ascii="Century" w:hAnsi="Century"/>
                <w:sz w:val="20"/>
                <w:szCs w:val="20"/>
              </w:rPr>
              <w:t>1 257</w:t>
            </w:r>
          </w:p>
        </w:tc>
        <w:tc>
          <w:tcPr>
            <w:tcW w:w="850" w:type="dxa"/>
            <w:shd w:val="clear" w:color="auto" w:fill="F2F2F2"/>
            <w:vAlign w:val="center"/>
            <w:hideMark/>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1,1</w:t>
            </w:r>
          </w:p>
        </w:tc>
      </w:tr>
      <w:tr w:rsidR="00133BC5" w:rsidRPr="00920E8A" w:rsidTr="00133BC5">
        <w:trPr>
          <w:trHeight w:val="198"/>
        </w:trPr>
        <w:tc>
          <w:tcPr>
            <w:tcW w:w="3622" w:type="dxa"/>
            <w:tcBorders>
              <w:top w:val="nil"/>
              <w:left w:val="nil"/>
              <w:bottom w:val="nil"/>
              <w:right w:val="nil"/>
            </w:tcBorders>
            <w:shd w:val="clear" w:color="auto" w:fill="FFFFFF" w:themeFill="background1"/>
            <w:vAlign w:val="center"/>
          </w:tcPr>
          <w:p w:rsidR="00133BC5" w:rsidRPr="00920E8A" w:rsidRDefault="00133BC5" w:rsidP="00133BC5">
            <w:pPr>
              <w:spacing w:after="0"/>
              <w:contextualSpacing/>
              <w:rPr>
                <w:rFonts w:ascii="Century" w:hAnsi="Century"/>
                <w:bCs/>
                <w:sz w:val="20"/>
                <w:szCs w:val="20"/>
              </w:rPr>
            </w:pPr>
            <w:r w:rsidRPr="000C608A">
              <w:rPr>
                <w:rFonts w:ascii="Century" w:hAnsi="Century"/>
                <w:bCs/>
                <w:sz w:val="20"/>
                <w:szCs w:val="20"/>
              </w:rPr>
              <w:t>Финансовое обеспечение реализации Указа № 204 (в т.ч. национальные проекты)</w:t>
            </w:r>
          </w:p>
        </w:tc>
        <w:tc>
          <w:tcPr>
            <w:tcW w:w="849" w:type="dxa"/>
            <w:tcBorders>
              <w:top w:val="nil"/>
              <w:left w:val="nil"/>
              <w:bottom w:val="nil"/>
              <w:right w:val="nil"/>
            </w:tcBorders>
            <w:shd w:val="clear" w:color="auto" w:fill="FFFFFF" w:themeFill="background1"/>
            <w:vAlign w:val="center"/>
          </w:tcPr>
          <w:p w:rsidR="00133BC5" w:rsidRPr="000C608A" w:rsidRDefault="00133BC5" w:rsidP="00133BC5">
            <w:pPr>
              <w:spacing w:after="0"/>
              <w:contextualSpacing/>
              <w:jc w:val="right"/>
              <w:rPr>
                <w:rFonts w:ascii="Century" w:hAnsi="Century"/>
                <w:sz w:val="20"/>
                <w:szCs w:val="20"/>
              </w:rPr>
            </w:pPr>
            <w:r w:rsidRPr="000C608A">
              <w:rPr>
                <w:rFonts w:ascii="Century" w:hAnsi="Century"/>
                <w:sz w:val="20"/>
                <w:szCs w:val="20"/>
              </w:rPr>
              <w:t>-</w:t>
            </w:r>
          </w:p>
        </w:tc>
        <w:tc>
          <w:tcPr>
            <w:tcW w:w="850" w:type="dxa"/>
            <w:tcBorders>
              <w:top w:val="nil"/>
              <w:left w:val="nil"/>
              <w:bottom w:val="nil"/>
              <w:right w:val="nil"/>
            </w:tcBorders>
            <w:shd w:val="clear" w:color="auto" w:fill="FFFFFF" w:themeFill="background1"/>
            <w:vAlign w:val="center"/>
          </w:tcPr>
          <w:p w:rsidR="00133BC5" w:rsidRPr="000C608A" w:rsidRDefault="00133BC5" w:rsidP="00133BC5">
            <w:pPr>
              <w:spacing w:after="0"/>
              <w:contextualSpacing/>
              <w:jc w:val="right"/>
              <w:rPr>
                <w:rFonts w:ascii="Century" w:hAnsi="Century"/>
                <w:iCs/>
                <w:sz w:val="20"/>
                <w:szCs w:val="20"/>
              </w:rPr>
            </w:pPr>
            <w:r w:rsidRPr="000C608A">
              <w:rPr>
                <w:rFonts w:ascii="Century" w:hAnsi="Century"/>
                <w:iCs/>
                <w:sz w:val="20"/>
                <w:szCs w:val="20"/>
              </w:rPr>
              <w:t>-</w:t>
            </w:r>
          </w:p>
        </w:tc>
        <w:tc>
          <w:tcPr>
            <w:tcW w:w="850" w:type="dxa"/>
            <w:tcBorders>
              <w:top w:val="nil"/>
              <w:left w:val="nil"/>
              <w:bottom w:val="nil"/>
              <w:right w:val="nil"/>
            </w:tcBorders>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1 170</w:t>
            </w:r>
          </w:p>
        </w:tc>
        <w:tc>
          <w:tcPr>
            <w:tcW w:w="851" w:type="dxa"/>
            <w:tcBorders>
              <w:top w:val="nil"/>
              <w:left w:val="nil"/>
              <w:bottom w:val="nil"/>
              <w:right w:val="nil"/>
            </w:tcBorders>
            <w:shd w:val="clear" w:color="auto" w:fill="FFFFFF" w:themeFill="background1"/>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1,1</w:t>
            </w:r>
          </w:p>
        </w:tc>
        <w:tc>
          <w:tcPr>
            <w:tcW w:w="850" w:type="dxa"/>
            <w:tcBorders>
              <w:top w:val="nil"/>
              <w:left w:val="nil"/>
              <w:bottom w:val="nil"/>
              <w:right w:val="nil"/>
            </w:tcBorders>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1 247</w:t>
            </w:r>
          </w:p>
        </w:tc>
        <w:tc>
          <w:tcPr>
            <w:tcW w:w="851" w:type="dxa"/>
            <w:tcBorders>
              <w:top w:val="nil"/>
              <w:left w:val="nil"/>
              <w:bottom w:val="nil"/>
              <w:right w:val="nil"/>
            </w:tcBorders>
            <w:shd w:val="clear" w:color="auto" w:fill="FFFFFF" w:themeFill="background1"/>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1,1</w:t>
            </w:r>
          </w:p>
        </w:tc>
        <w:tc>
          <w:tcPr>
            <w:tcW w:w="852" w:type="dxa"/>
            <w:tcBorders>
              <w:top w:val="nil"/>
              <w:left w:val="nil"/>
              <w:bottom w:val="nil"/>
              <w:right w:val="nil"/>
            </w:tcBorders>
            <w:shd w:val="clear" w:color="auto" w:fill="FFFFFF" w:themeFill="background1"/>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1 474</w:t>
            </w:r>
          </w:p>
        </w:tc>
        <w:tc>
          <w:tcPr>
            <w:tcW w:w="850" w:type="dxa"/>
            <w:tcBorders>
              <w:top w:val="nil"/>
              <w:left w:val="nil"/>
              <w:bottom w:val="nil"/>
              <w:right w:val="nil"/>
            </w:tcBorders>
            <w:shd w:val="clear" w:color="auto" w:fill="FFFFFF" w:themeFill="background1"/>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1,2</w:t>
            </w:r>
          </w:p>
        </w:tc>
      </w:tr>
      <w:tr w:rsidR="00133BC5" w:rsidRPr="00920E8A" w:rsidTr="00133BC5">
        <w:trPr>
          <w:trHeight w:val="198"/>
        </w:trPr>
        <w:tc>
          <w:tcPr>
            <w:tcW w:w="3622" w:type="dxa"/>
            <w:tcBorders>
              <w:top w:val="nil"/>
              <w:left w:val="nil"/>
              <w:bottom w:val="single" w:sz="4" w:space="0" w:color="auto"/>
              <w:right w:val="nil"/>
            </w:tcBorders>
            <w:shd w:val="clear" w:color="auto" w:fill="F2F2F2" w:themeFill="background1" w:themeFillShade="F2"/>
            <w:vAlign w:val="center"/>
          </w:tcPr>
          <w:p w:rsidR="00133BC5" w:rsidRPr="00920E8A" w:rsidRDefault="00133BC5" w:rsidP="00133BC5">
            <w:pPr>
              <w:spacing w:after="0"/>
              <w:contextualSpacing/>
              <w:rPr>
                <w:rFonts w:ascii="Century" w:hAnsi="Century"/>
                <w:bCs/>
                <w:sz w:val="20"/>
                <w:szCs w:val="20"/>
              </w:rPr>
            </w:pPr>
            <w:r w:rsidRPr="00920E8A">
              <w:rPr>
                <w:rFonts w:ascii="Century" w:hAnsi="Century"/>
                <w:bCs/>
                <w:sz w:val="20"/>
                <w:szCs w:val="20"/>
              </w:rPr>
              <w:t>Условно утвержденные расходы</w:t>
            </w:r>
          </w:p>
        </w:tc>
        <w:tc>
          <w:tcPr>
            <w:tcW w:w="849" w:type="dxa"/>
            <w:tcBorders>
              <w:top w:val="nil"/>
              <w:left w:val="nil"/>
              <w:bottom w:val="single" w:sz="4" w:space="0" w:color="auto"/>
              <w:right w:val="nil"/>
            </w:tcBorders>
            <w:shd w:val="clear" w:color="auto" w:fill="F2F2F2" w:themeFill="background1" w:themeFillShade="F2"/>
            <w:vAlign w:val="center"/>
          </w:tcPr>
          <w:p w:rsidR="00133BC5" w:rsidRPr="000C608A" w:rsidRDefault="00133BC5" w:rsidP="00133BC5">
            <w:pPr>
              <w:spacing w:after="0"/>
              <w:contextualSpacing/>
              <w:jc w:val="right"/>
              <w:rPr>
                <w:rFonts w:ascii="Century" w:hAnsi="Century"/>
                <w:sz w:val="20"/>
                <w:szCs w:val="20"/>
              </w:rPr>
            </w:pPr>
            <w:r w:rsidRPr="000C608A">
              <w:rPr>
                <w:rFonts w:ascii="Century" w:hAnsi="Century"/>
                <w:sz w:val="20"/>
                <w:szCs w:val="20"/>
              </w:rPr>
              <w:t>-</w:t>
            </w:r>
          </w:p>
        </w:tc>
        <w:tc>
          <w:tcPr>
            <w:tcW w:w="850" w:type="dxa"/>
            <w:tcBorders>
              <w:top w:val="nil"/>
              <w:left w:val="nil"/>
              <w:bottom w:val="single" w:sz="4" w:space="0" w:color="auto"/>
              <w:right w:val="nil"/>
            </w:tcBorders>
            <w:shd w:val="clear" w:color="auto" w:fill="F2F2F2" w:themeFill="background1" w:themeFillShade="F2"/>
            <w:vAlign w:val="center"/>
          </w:tcPr>
          <w:p w:rsidR="00133BC5" w:rsidRPr="000C608A" w:rsidRDefault="00133BC5" w:rsidP="00133BC5">
            <w:pPr>
              <w:spacing w:after="0"/>
              <w:contextualSpacing/>
              <w:jc w:val="right"/>
              <w:rPr>
                <w:rFonts w:ascii="Century" w:hAnsi="Century"/>
                <w:iCs/>
                <w:sz w:val="20"/>
                <w:szCs w:val="20"/>
              </w:rPr>
            </w:pPr>
            <w:r w:rsidRPr="000C608A">
              <w:rPr>
                <w:rFonts w:ascii="Century" w:hAnsi="Century"/>
                <w:iCs/>
                <w:sz w:val="20"/>
                <w:szCs w:val="20"/>
              </w:rPr>
              <w:t>-</w:t>
            </w:r>
          </w:p>
        </w:tc>
        <w:tc>
          <w:tcPr>
            <w:tcW w:w="850" w:type="dxa"/>
            <w:tcBorders>
              <w:top w:val="nil"/>
              <w:left w:val="nil"/>
              <w:bottom w:val="single" w:sz="4" w:space="0" w:color="auto"/>
              <w:right w:val="nil"/>
            </w:tcBorders>
            <w:shd w:val="clear" w:color="auto" w:fill="F2F2F2" w:themeFill="background1" w:themeFillShade="F2"/>
            <w:vAlign w:val="center"/>
          </w:tcPr>
          <w:p w:rsidR="00133BC5" w:rsidRPr="000C608A" w:rsidRDefault="00133BC5" w:rsidP="00133BC5">
            <w:pPr>
              <w:spacing w:after="0"/>
              <w:contextualSpacing/>
              <w:jc w:val="right"/>
              <w:rPr>
                <w:rFonts w:ascii="Century" w:hAnsi="Century"/>
                <w:sz w:val="20"/>
                <w:szCs w:val="20"/>
              </w:rPr>
            </w:pPr>
            <w:r w:rsidRPr="000C608A">
              <w:rPr>
                <w:rFonts w:ascii="Century" w:hAnsi="Century"/>
                <w:sz w:val="20"/>
                <w:szCs w:val="20"/>
              </w:rPr>
              <w:t>-</w:t>
            </w:r>
          </w:p>
        </w:tc>
        <w:tc>
          <w:tcPr>
            <w:tcW w:w="851" w:type="dxa"/>
            <w:tcBorders>
              <w:top w:val="nil"/>
              <w:left w:val="nil"/>
              <w:bottom w:val="single" w:sz="4" w:space="0" w:color="auto"/>
              <w:right w:val="nil"/>
            </w:tcBorders>
            <w:shd w:val="clear" w:color="auto" w:fill="F2F2F2" w:themeFill="background1" w:themeFillShade="F2"/>
            <w:vAlign w:val="center"/>
          </w:tcPr>
          <w:p w:rsidR="00133BC5" w:rsidRPr="000C608A" w:rsidRDefault="00133BC5" w:rsidP="00133BC5">
            <w:pPr>
              <w:spacing w:after="0"/>
              <w:contextualSpacing/>
              <w:jc w:val="right"/>
              <w:rPr>
                <w:rFonts w:ascii="Century" w:hAnsi="Century"/>
                <w:iCs/>
                <w:sz w:val="20"/>
                <w:szCs w:val="20"/>
              </w:rPr>
            </w:pPr>
            <w:r w:rsidRPr="000C608A">
              <w:rPr>
                <w:rFonts w:ascii="Century" w:hAnsi="Century"/>
                <w:iCs/>
                <w:sz w:val="20"/>
                <w:szCs w:val="20"/>
              </w:rPr>
              <w:t>-</w:t>
            </w:r>
          </w:p>
        </w:tc>
        <w:tc>
          <w:tcPr>
            <w:tcW w:w="850" w:type="dxa"/>
            <w:tcBorders>
              <w:top w:val="nil"/>
              <w:left w:val="nil"/>
              <w:bottom w:val="single" w:sz="4" w:space="0" w:color="auto"/>
              <w:right w:val="nil"/>
            </w:tcBorders>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472</w:t>
            </w:r>
          </w:p>
        </w:tc>
        <w:tc>
          <w:tcPr>
            <w:tcW w:w="851" w:type="dxa"/>
            <w:tcBorders>
              <w:top w:val="nil"/>
              <w:left w:val="nil"/>
              <w:bottom w:val="single" w:sz="4" w:space="0" w:color="auto"/>
              <w:right w:val="nil"/>
            </w:tcBorders>
            <w:shd w:val="clear" w:color="auto" w:fill="F2F2F2" w:themeFill="background1" w:themeFillShade="F2"/>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0,4</w:t>
            </w:r>
          </w:p>
        </w:tc>
        <w:tc>
          <w:tcPr>
            <w:tcW w:w="852" w:type="dxa"/>
            <w:tcBorders>
              <w:top w:val="nil"/>
              <w:left w:val="nil"/>
              <w:bottom w:val="single" w:sz="4" w:space="0" w:color="auto"/>
              <w:right w:val="nil"/>
            </w:tcBorders>
            <w:shd w:val="clear" w:color="auto" w:fill="F2F2F2" w:themeFill="background1" w:themeFillShade="F2"/>
            <w:vAlign w:val="center"/>
          </w:tcPr>
          <w:p w:rsidR="00133BC5" w:rsidRDefault="00133BC5" w:rsidP="00133BC5">
            <w:pPr>
              <w:spacing w:after="0"/>
              <w:contextualSpacing/>
              <w:jc w:val="right"/>
              <w:rPr>
                <w:rFonts w:ascii="Century" w:hAnsi="Century"/>
                <w:sz w:val="20"/>
                <w:szCs w:val="20"/>
              </w:rPr>
            </w:pPr>
            <w:r>
              <w:rPr>
                <w:rFonts w:ascii="Century" w:hAnsi="Century"/>
                <w:sz w:val="20"/>
                <w:szCs w:val="20"/>
              </w:rPr>
              <w:t>995</w:t>
            </w:r>
          </w:p>
        </w:tc>
        <w:tc>
          <w:tcPr>
            <w:tcW w:w="850" w:type="dxa"/>
            <w:tcBorders>
              <w:top w:val="nil"/>
              <w:left w:val="nil"/>
              <w:bottom w:val="single" w:sz="4" w:space="0" w:color="auto"/>
              <w:right w:val="nil"/>
            </w:tcBorders>
            <w:shd w:val="clear" w:color="auto" w:fill="F2F2F2" w:themeFill="background1" w:themeFillShade="F2"/>
            <w:vAlign w:val="center"/>
          </w:tcPr>
          <w:p w:rsidR="00133BC5" w:rsidRDefault="00133BC5" w:rsidP="00133BC5">
            <w:pPr>
              <w:spacing w:after="0"/>
              <w:contextualSpacing/>
              <w:jc w:val="right"/>
              <w:rPr>
                <w:rFonts w:ascii="Century" w:hAnsi="Century"/>
                <w:i/>
                <w:iCs/>
                <w:sz w:val="20"/>
                <w:szCs w:val="20"/>
              </w:rPr>
            </w:pPr>
            <w:r>
              <w:rPr>
                <w:rFonts w:ascii="Century" w:hAnsi="Century"/>
                <w:i/>
                <w:iCs/>
                <w:sz w:val="20"/>
                <w:szCs w:val="20"/>
              </w:rPr>
              <w:t>0,8</w:t>
            </w:r>
          </w:p>
        </w:tc>
      </w:tr>
    </w:tbl>
    <w:p w:rsidR="007867FE" w:rsidRPr="003F0679" w:rsidRDefault="00A71D96" w:rsidP="0089358A">
      <w:pPr>
        <w:spacing w:after="120" w:line="240" w:lineRule="auto"/>
        <w:rPr>
          <w:highlight w:val="lightGray"/>
        </w:rPr>
      </w:pPr>
      <w:r w:rsidRPr="00F31180">
        <w:rPr>
          <w:rFonts w:ascii="Times New Roman" w:hAnsi="Times New Roman"/>
          <w:i/>
          <w:sz w:val="20"/>
          <w:szCs w:val="20"/>
        </w:rPr>
        <w:t>*</w:t>
      </w:r>
      <w:r>
        <w:rPr>
          <w:rFonts w:ascii="Times New Roman" w:hAnsi="Times New Roman"/>
          <w:i/>
          <w:sz w:val="20"/>
          <w:szCs w:val="20"/>
        </w:rPr>
        <w:t>Без учета</w:t>
      </w:r>
      <w:r w:rsidRPr="00F31180">
        <w:rPr>
          <w:rFonts w:ascii="Times New Roman" w:hAnsi="Times New Roman"/>
          <w:i/>
          <w:sz w:val="20"/>
          <w:szCs w:val="20"/>
        </w:rPr>
        <w:t xml:space="preserve"> накопительной составляющей пенсионной системы</w:t>
      </w:r>
    </w:p>
    <w:sectPr w:rsidR="007867FE" w:rsidRPr="003F0679" w:rsidSect="009B2430">
      <w:headerReference w:type="default" r:id="rId23"/>
      <w:footerReference w:type="default" r:id="rId24"/>
      <w:pgSz w:w="11906" w:h="16838"/>
      <w:pgMar w:top="1134" w:right="1418" w:bottom="1134" w:left="1418" w:header="709" w:footer="709"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2CBE4" w16cid:durableId="1D6F70A0"/>
  <w16cid:commentId w16cid:paraId="31FB1118" w16cid:durableId="1D6F727C"/>
  <w16cid:commentId w16cid:paraId="24353B32" w16cid:durableId="1D6F74A5"/>
  <w16cid:commentId w16cid:paraId="1996B428" w16cid:durableId="1D6F77E1"/>
  <w16cid:commentId w16cid:paraId="4ED79511" w16cid:durableId="1D6F78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132" w:rsidRDefault="003A7132" w:rsidP="00516506">
      <w:pPr>
        <w:spacing w:after="0" w:line="240" w:lineRule="auto"/>
      </w:pPr>
      <w:r>
        <w:separator/>
      </w:r>
    </w:p>
  </w:endnote>
  <w:endnote w:type="continuationSeparator" w:id="0">
    <w:p w:rsidR="003A7132" w:rsidRDefault="003A7132" w:rsidP="0051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Neue LT 55 Roman">
    <w:altName w:val="Malgun Gothic"/>
    <w:charset w:val="00"/>
    <w:family w:val="auto"/>
    <w:pitch w:val="variable"/>
    <w:sig w:usb0="00000003" w:usb1="00000000" w:usb2="00000000" w:usb3="00000000" w:csb0="00000001" w:csb1="00000000"/>
  </w:font>
  <w:font w:name="HelveticaNeue LT 65 Medium">
    <w:altName w:val="Trebuchet MS"/>
    <w:charset w:val="00"/>
    <w:family w:val="auto"/>
    <w:pitch w:val="variable"/>
    <w:sig w:usb0="00000003" w:usb1="00000000" w:usb2="00000000" w:usb3="00000000" w:csb0="00000001" w:csb1="00000000"/>
  </w:font>
  <w:font w:name="FreeSetC">
    <w:altName w:val="Courier New"/>
    <w:panose1 w:val="00000000000000000000"/>
    <w:charset w:val="00"/>
    <w:family w:val="decorative"/>
    <w:notTrueType/>
    <w:pitch w:val="default"/>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32" w:rsidRPr="00322019" w:rsidRDefault="003A7132">
    <w:pPr>
      <w:pStyle w:val="ae"/>
      <w:jc w:val="center"/>
      <w:rPr>
        <w:rFonts w:ascii="Times New Roman" w:hAnsi="Times New Roman"/>
      </w:rPr>
    </w:pPr>
    <w:r w:rsidRPr="00322019">
      <w:rPr>
        <w:rFonts w:ascii="Times New Roman" w:hAnsi="Times New Roman"/>
      </w:rPr>
      <w:fldChar w:fldCharType="begin"/>
    </w:r>
    <w:r w:rsidRPr="00322019">
      <w:rPr>
        <w:rFonts w:ascii="Times New Roman" w:hAnsi="Times New Roman"/>
      </w:rPr>
      <w:instrText>PAGE   \* MERGEFORMAT</w:instrText>
    </w:r>
    <w:r w:rsidRPr="00322019">
      <w:rPr>
        <w:rFonts w:ascii="Times New Roman" w:hAnsi="Times New Roman"/>
      </w:rPr>
      <w:fldChar w:fldCharType="separate"/>
    </w:r>
    <w:r w:rsidR="00003295">
      <w:rPr>
        <w:rFonts w:ascii="Times New Roman" w:hAnsi="Times New Roman"/>
        <w:noProof/>
      </w:rPr>
      <w:t>1</w:t>
    </w:r>
    <w:r w:rsidRPr="00322019">
      <w:rPr>
        <w:rFonts w:ascii="Times New Roman" w:hAnsi="Times New Roman"/>
        <w:noProof/>
      </w:rPr>
      <w:fldChar w:fldCharType="end"/>
    </w:r>
  </w:p>
  <w:p w:rsidR="003A7132" w:rsidRDefault="003A713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132" w:rsidRDefault="003A7132" w:rsidP="00516506">
      <w:pPr>
        <w:spacing w:after="0" w:line="240" w:lineRule="auto"/>
      </w:pPr>
      <w:r>
        <w:separator/>
      </w:r>
    </w:p>
  </w:footnote>
  <w:footnote w:type="continuationSeparator" w:id="0">
    <w:p w:rsidR="003A7132" w:rsidRDefault="003A7132" w:rsidP="00516506">
      <w:pPr>
        <w:spacing w:after="0" w:line="240" w:lineRule="auto"/>
      </w:pPr>
      <w:r>
        <w:continuationSeparator/>
      </w:r>
    </w:p>
  </w:footnote>
  <w:footnote w:id="1">
    <w:p w:rsidR="003A7132" w:rsidRPr="005518AE" w:rsidRDefault="003A7132" w:rsidP="00335AB1">
      <w:pPr>
        <w:spacing w:before="40" w:after="40" w:line="240" w:lineRule="auto"/>
        <w:jc w:val="both"/>
        <w:rPr>
          <w:rFonts w:ascii="Times New Roman" w:hAnsi="Times New Roman"/>
          <w:i/>
          <w:sz w:val="18"/>
          <w:szCs w:val="18"/>
        </w:rPr>
      </w:pPr>
      <w:r w:rsidRPr="005518AE">
        <w:rPr>
          <w:rFonts w:ascii="Times New Roman" w:hAnsi="Times New Roman"/>
          <w:i/>
          <w:sz w:val="18"/>
          <w:szCs w:val="18"/>
          <w:vertAlign w:val="superscript"/>
        </w:rPr>
        <w:footnoteRef/>
      </w:r>
      <w:r w:rsidRPr="005518AE">
        <w:rPr>
          <w:rFonts w:ascii="Times New Roman" w:hAnsi="Times New Roman"/>
          <w:i/>
          <w:sz w:val="18"/>
          <w:szCs w:val="18"/>
        </w:rPr>
        <w:t xml:space="preserve"> Новая конструкция бюджетных правил законодательно закреплена Федеральным законом от 29 июля 2017 года № 262-ФЗ «О внесении изменений в Бюджетный кодекс Российской Федерации в части использования нефтегазовых доходов федерального бюджета».</w:t>
      </w:r>
    </w:p>
    <w:p w:rsidR="003A7132" w:rsidRPr="007D197A" w:rsidRDefault="003A7132" w:rsidP="00335AB1">
      <w:pPr>
        <w:spacing w:before="40" w:after="40" w:line="240" w:lineRule="auto"/>
        <w:jc w:val="both"/>
      </w:pPr>
      <w:r w:rsidRPr="005518AE">
        <w:rPr>
          <w:rFonts w:ascii="Times New Roman" w:hAnsi="Times New Roman"/>
          <w:i/>
          <w:sz w:val="18"/>
          <w:szCs w:val="18"/>
        </w:rPr>
        <w:t>Согласно новой конструкции бюджетных правил предельный объем расходов федерального бюджета определяется как сумма базового объема нефтегазовых доходов, рассчитанного при базовой цене на нефть – 40 долларов США за баррель нефти марки «Юралс» (с ежегодной индексацией с 2018 года на 2%), объема ненефтегазовых доходов и расходов по обслуживанию государственного долга. При этом механизм обеспечивает плавный переход к новым предельным объемам расходов и предусматривает возможность их превышения в 2018 году на 1% ВВП</w:t>
      </w:r>
      <w:r>
        <w:rPr>
          <w:rFonts w:ascii="Times New Roman" w:hAnsi="Times New Roman"/>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78" w:type="dxa"/>
      <w:tblInd w:w="-34" w:type="dxa"/>
      <w:tblBorders>
        <w:left w:val="single" w:sz="4" w:space="0" w:color="FFFFFF"/>
        <w:insideH w:val="single" w:sz="12" w:space="0" w:color="003300"/>
        <w:insideV w:val="single" w:sz="12" w:space="0" w:color="003300"/>
      </w:tblBorders>
      <w:tblLayout w:type="fixed"/>
      <w:tblLook w:val="00A0" w:firstRow="1" w:lastRow="0" w:firstColumn="1" w:lastColumn="0" w:noHBand="0" w:noVBand="0"/>
    </w:tblPr>
    <w:tblGrid>
      <w:gridCol w:w="7655"/>
      <w:gridCol w:w="1623"/>
    </w:tblGrid>
    <w:tr w:rsidR="003A7132" w:rsidRPr="00E11E0D" w:rsidTr="0063778D">
      <w:trPr>
        <w:trHeight w:val="547"/>
      </w:trPr>
      <w:tc>
        <w:tcPr>
          <w:tcW w:w="7655" w:type="dxa"/>
        </w:tcPr>
        <w:p w:rsidR="003A7132" w:rsidRPr="00E11E0D" w:rsidRDefault="003A7132" w:rsidP="00855C7E">
          <w:pPr>
            <w:pStyle w:val="ac"/>
            <w:ind w:left="-846" w:firstLine="846"/>
            <w:jc w:val="right"/>
            <w:rPr>
              <w:b/>
              <w:color w:val="003300"/>
            </w:rPr>
          </w:pPr>
          <w:r w:rsidRPr="009E49BF">
            <w:rPr>
              <w:rFonts w:ascii="Times New Roman" w:hAnsi="Times New Roman"/>
              <w:b/>
              <w:color w:val="003300"/>
            </w:rPr>
            <w:t>Основные направления бюджетной, налоговой и таможенно-тарифной политики на 201</w:t>
          </w:r>
          <w:r>
            <w:rPr>
              <w:rFonts w:ascii="Times New Roman" w:hAnsi="Times New Roman"/>
              <w:b/>
              <w:color w:val="003300"/>
            </w:rPr>
            <w:t>9</w:t>
          </w:r>
          <w:r w:rsidRPr="009E49BF">
            <w:rPr>
              <w:rFonts w:ascii="Times New Roman" w:hAnsi="Times New Roman"/>
              <w:b/>
              <w:color w:val="003300"/>
            </w:rPr>
            <w:t xml:space="preserve"> год и плановый период 20</w:t>
          </w:r>
          <w:r>
            <w:rPr>
              <w:rFonts w:ascii="Times New Roman" w:hAnsi="Times New Roman"/>
              <w:b/>
              <w:color w:val="003300"/>
            </w:rPr>
            <w:t>20</w:t>
          </w:r>
          <w:r w:rsidRPr="009E49BF">
            <w:rPr>
              <w:rFonts w:ascii="Times New Roman" w:hAnsi="Times New Roman"/>
              <w:b/>
              <w:color w:val="003300"/>
            </w:rPr>
            <w:t xml:space="preserve"> и 202</w:t>
          </w:r>
          <w:r>
            <w:rPr>
              <w:rFonts w:ascii="Times New Roman" w:hAnsi="Times New Roman"/>
              <w:b/>
              <w:color w:val="003300"/>
            </w:rPr>
            <w:t>1</w:t>
          </w:r>
          <w:r w:rsidRPr="009E49BF">
            <w:rPr>
              <w:rFonts w:ascii="Times New Roman" w:hAnsi="Times New Roman"/>
              <w:b/>
              <w:color w:val="003300"/>
            </w:rPr>
            <w:t xml:space="preserve"> годов</w:t>
          </w:r>
        </w:p>
      </w:tc>
      <w:tc>
        <w:tcPr>
          <w:tcW w:w="1623" w:type="dxa"/>
        </w:tcPr>
        <w:p w:rsidR="003A7132" w:rsidRPr="00E11E0D" w:rsidRDefault="003A7132" w:rsidP="00E11E0D">
          <w:pPr>
            <w:pStyle w:val="ac"/>
            <w:jc w:val="right"/>
            <w:rPr>
              <w:b/>
              <w:color w:val="003300"/>
            </w:rPr>
          </w:pPr>
        </w:p>
      </w:tc>
    </w:tr>
  </w:tbl>
  <w:p w:rsidR="003A7132" w:rsidRDefault="003A7132">
    <w:pPr>
      <w:pStyle w:val="ac"/>
    </w:pPr>
    <w:r>
      <w:rPr>
        <w:noProof/>
        <w:lang w:eastAsia="ru-RU"/>
      </w:rPr>
      <w:drawing>
        <wp:anchor distT="0" distB="0" distL="114300" distR="114300" simplePos="0" relativeHeight="251685376" behindDoc="0" locked="0" layoutInCell="1" allowOverlap="1" wp14:anchorId="28360F58" wp14:editId="3CF76608">
          <wp:simplePos x="0" y="0"/>
          <wp:positionH relativeFrom="column">
            <wp:posOffset>4833620</wp:posOffset>
          </wp:positionH>
          <wp:positionV relativeFrom="paragraph">
            <wp:posOffset>-432435</wp:posOffset>
          </wp:positionV>
          <wp:extent cx="467360" cy="474345"/>
          <wp:effectExtent l="0" t="0" r="8890" b="1905"/>
          <wp:wrapNone/>
          <wp:docPr id="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360" cy="4743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62848" behindDoc="0" locked="0" layoutInCell="1" allowOverlap="1" wp14:anchorId="7A120A2F" wp14:editId="211D9FA4">
              <wp:simplePos x="0" y="0"/>
              <wp:positionH relativeFrom="column">
                <wp:posOffset>5474335</wp:posOffset>
              </wp:positionH>
              <wp:positionV relativeFrom="paragraph">
                <wp:posOffset>-401320</wp:posOffset>
              </wp:positionV>
              <wp:extent cx="381635" cy="412750"/>
              <wp:effectExtent l="0" t="0" r="0" b="6350"/>
              <wp:wrapNone/>
              <wp:docPr id="1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132" w:rsidRPr="00E11E0D" w:rsidRDefault="003A7132" w:rsidP="009C27DD">
                          <w:pPr>
                            <w:pStyle w:val="afd"/>
                            <w:spacing w:before="0" w:beforeAutospacing="0" w:after="0" w:afterAutospacing="0"/>
                            <w:textAlignment w:val="baseline"/>
                            <w:rPr>
                              <w:color w:val="948A54"/>
                            </w:rPr>
                          </w:pPr>
                          <w:r w:rsidRPr="00E11E0D">
                            <w:rPr>
                              <w:i/>
                              <w:iCs/>
                              <w:color w:val="948A54"/>
                              <w:kern w:val="24"/>
                              <w:sz w:val="44"/>
                              <w:szCs w:val="44"/>
                            </w:rPr>
                            <w:t>ф</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3" o:spid="_x0000_s1030" type="#_x0000_t202" style="position:absolute;margin-left:431.05pt;margin-top:-31.6pt;width:30.05pt;height:32.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" filled="f" stroked="f">
              <v:textbox style="mso-fit-shape-to-text:t">
                <w:txbxContent>
                  <w:p w:rsidR="003A7132" w:rsidRPr="00E11E0D" w:rsidRDefault="003A7132" w:rsidP="009C27DD">
                    <w:pPr>
                      <w:pStyle w:val="afd"/>
                      <w:spacing w:before="0" w:beforeAutospacing="0" w:after="0" w:afterAutospacing="0"/>
                      <w:textAlignment w:val="baseline"/>
                      <w:rPr>
                        <w:color w:val="948A54"/>
                      </w:rPr>
                    </w:pPr>
                    <w:r w:rsidRPr="00E11E0D">
                      <w:rPr>
                        <w:i/>
                        <w:iCs/>
                        <w:color w:val="948A54"/>
                        <w:kern w:val="24"/>
                        <w:sz w:val="44"/>
                        <w:szCs w:val="44"/>
                      </w:rPr>
                      <w:t>ф</w:t>
                    </w:r>
                  </w:p>
                </w:txbxContent>
              </v:textbox>
            </v:shape>
          </w:pict>
        </mc:Fallback>
      </mc:AlternateContent>
    </w:r>
    <w:r>
      <w:rPr>
        <w:noProof/>
        <w:lang w:eastAsia="ru-RU"/>
      </w:rPr>
      <mc:AlternateContent>
        <mc:Choice Requires="wps">
          <w:drawing>
            <wp:anchor distT="0" distB="0" distL="114300" distR="114300" simplePos="0" relativeHeight="251651584" behindDoc="0" locked="0" layoutInCell="1" allowOverlap="1" wp14:anchorId="08822615" wp14:editId="03FB9C65">
              <wp:simplePos x="0" y="0"/>
              <wp:positionH relativeFrom="column">
                <wp:posOffset>5250815</wp:posOffset>
              </wp:positionH>
              <wp:positionV relativeFrom="paragraph">
                <wp:posOffset>-387350</wp:posOffset>
              </wp:positionV>
              <wp:extent cx="408940" cy="379095"/>
              <wp:effectExtent l="0" t="0" r="0" b="0"/>
              <wp:wrapNone/>
              <wp:docPr id="17" name="Прямоугольник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8940" cy="379095"/>
                      </a:xfrm>
                      <a:prstGeom prst="rect">
                        <a:avLst/>
                      </a:prstGeom>
                    </wps:spPr>
                    <wps:txbx>
                      <w:txbxContent>
                        <w:p w:rsidR="003A7132" w:rsidRPr="009C27DD" w:rsidRDefault="003A7132" w:rsidP="009C27DD">
                          <w:pPr>
                            <w:pStyle w:val="afd"/>
                            <w:spacing w:before="0" w:beforeAutospacing="0" w:after="0" w:afterAutospacing="0"/>
                            <w:textAlignment w:val="baseline"/>
                            <w:rPr>
                              <w:color w:val="003300"/>
                            </w:rPr>
                          </w:pPr>
                          <w:r w:rsidRPr="009C27DD">
                            <w:rPr>
                              <w:color w:val="003300"/>
                              <w:kern w:val="24"/>
                              <w:sz w:val="40"/>
                              <w:szCs w:val="40"/>
                            </w:rPr>
                            <w:t>М</w:t>
                          </w:r>
                        </w:p>
                      </w:txbxContent>
                    </wps:txbx>
                    <wps:bodyPr wrap="none">
                      <a:normAutofit lnSpcReduction="10000"/>
                    </wps:bodyPr>
                  </wps:wsp>
                </a:graphicData>
              </a:graphic>
              <wp14:sizeRelH relativeFrom="page">
                <wp14:pctWidth>0</wp14:pctWidth>
              </wp14:sizeRelH>
              <wp14:sizeRelV relativeFrom="page">
                <wp14:pctHeight>0</wp14:pctHeight>
              </wp14:sizeRelV>
            </wp:anchor>
          </w:drawing>
        </mc:Choice>
        <mc:Fallback>
          <w:pict>
            <v:rect id="Прямоугольник 16" o:spid="_x0000_s1031" style="position:absolute;margin-left:413.45pt;margin-top:-30.5pt;width:32.2pt;height:29.85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" filled="f" stroked="f">
              <v:path arrowok="t"/>
              <o:lock v:ext="edit" aspectratio="t"/>
              <v:textbox>
                <w:txbxContent>
                  <w:p w:rsidR="003A7132" w:rsidRPr="009C27DD" w:rsidRDefault="003A7132" w:rsidP="009C27DD">
                    <w:pPr>
                      <w:pStyle w:val="afd"/>
                      <w:spacing w:before="0" w:beforeAutospacing="0" w:after="0" w:afterAutospacing="0"/>
                      <w:textAlignment w:val="baseline"/>
                      <w:rPr>
                        <w:color w:val="003300"/>
                      </w:rPr>
                    </w:pPr>
                    <w:r w:rsidRPr="009C27DD">
                      <w:rPr>
                        <w:color w:val="003300"/>
                        <w:kern w:val="24"/>
                        <w:sz w:val="40"/>
                        <w:szCs w:val="40"/>
                      </w:rPr>
                      <w:t>М</w:t>
                    </w:r>
                  </w:p>
                </w:txbxContent>
              </v:textbox>
            </v:rect>
          </w:pict>
        </mc:Fallback>
      </mc:AlternateContent>
    </w:r>
    <w:r>
      <w:rPr>
        <w:noProof/>
        <w:lang w:eastAsia="ru-RU"/>
      </w:rPr>
      <mc:AlternateContent>
        <mc:Choice Requires="wps">
          <w:drawing>
            <wp:anchor distT="0" distB="0" distL="114300" distR="114300" simplePos="0" relativeHeight="251674112" behindDoc="0" locked="0" layoutInCell="1" allowOverlap="1" wp14:anchorId="66AB7AF9" wp14:editId="5B9989B5">
              <wp:simplePos x="0" y="0"/>
              <wp:positionH relativeFrom="column">
                <wp:posOffset>5652135</wp:posOffset>
              </wp:positionH>
              <wp:positionV relativeFrom="paragraph">
                <wp:posOffset>-362585</wp:posOffset>
              </wp:positionV>
              <wp:extent cx="250825" cy="325120"/>
              <wp:effectExtent l="0" t="0" r="0" b="0"/>
              <wp:wrapNone/>
              <wp:docPr id="18" name="Прямоугольник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082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132" w:rsidRPr="009C27DD" w:rsidRDefault="003A7132" w:rsidP="009C27DD">
                          <w:pPr>
                            <w:pStyle w:val="afd"/>
                            <w:spacing w:before="0" w:beforeAutospacing="0" w:after="0" w:afterAutospacing="0"/>
                            <w:textAlignment w:val="baseline"/>
                            <w:rPr>
                              <w:color w:val="003300"/>
                            </w:rPr>
                          </w:pPr>
                          <w:r w:rsidRPr="009C27DD">
                            <w:rPr>
                              <w:color w:val="003300"/>
                              <w:kern w:val="24"/>
                              <w:sz w:val="32"/>
                              <w:szCs w:val="32"/>
                            </w:rPr>
                            <w:t>]</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2" style="position:absolute;margin-left:445.05pt;margin-top:-28.55pt;width:19.75pt;height:25.6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" filled="f" stroked="f">
              <o:lock v:ext="edit" aspectratio="t"/>
              <v:textbox style="mso-fit-shape-to-text:t">
                <w:txbxContent>
                  <w:p w:rsidR="003A7132" w:rsidRPr="009C27DD" w:rsidRDefault="003A7132" w:rsidP="009C27DD">
                    <w:pPr>
                      <w:pStyle w:val="afd"/>
                      <w:spacing w:before="0" w:beforeAutospacing="0" w:after="0" w:afterAutospacing="0"/>
                      <w:textAlignment w:val="baseline"/>
                      <w:rPr>
                        <w:color w:val="003300"/>
                      </w:rPr>
                    </w:pPr>
                    <w:r w:rsidRPr="009C27DD">
                      <w:rPr>
                        <w:color w:val="003300"/>
                        <w:kern w:val="24"/>
                        <w:sz w:val="32"/>
                        <w:szCs w:val="32"/>
                      </w:rPr>
                      <w:t>]</w:t>
                    </w:r>
                  </w:p>
                </w:txbxContent>
              </v:textbox>
            </v:rect>
          </w:pict>
        </mc:Fallback>
      </mc:AlternateContent>
    </w:r>
    <w:r>
      <w:rPr>
        <w:noProof/>
        <w:lang w:eastAsia="ru-RU"/>
      </w:rPr>
      <mc:AlternateContent>
        <mc:Choice Requires="wps">
          <w:drawing>
            <wp:anchor distT="0" distB="0" distL="114300" distR="114300" simplePos="0" relativeHeight="251640320" behindDoc="0" locked="0" layoutInCell="1" allowOverlap="1" wp14:anchorId="2C44CA22" wp14:editId="660B4AF9">
              <wp:simplePos x="0" y="0"/>
              <wp:positionH relativeFrom="column">
                <wp:posOffset>-36195</wp:posOffset>
              </wp:positionH>
              <wp:positionV relativeFrom="paragraph">
                <wp:posOffset>64770</wp:posOffset>
              </wp:positionV>
              <wp:extent cx="5851525" cy="14605"/>
              <wp:effectExtent l="0" t="0" r="15875" b="2349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1525" cy="14605"/>
                      </a:xfrm>
                      <a:prstGeom prst="line">
                        <a:avLst/>
                      </a:prstGeom>
                      <a:ln w="19050">
                        <a:solidFill>
                          <a:srgbClr val="003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E29362" id="Прямая соединительная линия 7"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5.1pt" to="457.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" strokecolor="#030" strokeweight="1.5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B01"/>
    <w:multiLevelType w:val="hybridMultilevel"/>
    <w:tmpl w:val="74069B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2E653C2"/>
    <w:multiLevelType w:val="hybridMultilevel"/>
    <w:tmpl w:val="DF8EFA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6354826"/>
    <w:multiLevelType w:val="hybridMultilevel"/>
    <w:tmpl w:val="2760E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07F16E3"/>
    <w:multiLevelType w:val="hybridMultilevel"/>
    <w:tmpl w:val="786C5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B909D1"/>
    <w:multiLevelType w:val="hybridMultilevel"/>
    <w:tmpl w:val="80A26C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E8E6821"/>
    <w:multiLevelType w:val="hybridMultilevel"/>
    <w:tmpl w:val="1AD83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5414C0"/>
    <w:multiLevelType w:val="hybridMultilevel"/>
    <w:tmpl w:val="859EA2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27B5235"/>
    <w:multiLevelType w:val="hybridMultilevel"/>
    <w:tmpl w:val="F70C52F6"/>
    <w:lvl w:ilvl="0" w:tplc="08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4A7EF2"/>
    <w:multiLevelType w:val="multilevel"/>
    <w:tmpl w:val="D576A980"/>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9">
    <w:nsid w:val="375D1B5F"/>
    <w:multiLevelType w:val="hybridMultilevel"/>
    <w:tmpl w:val="61F46B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768627F"/>
    <w:multiLevelType w:val="multilevel"/>
    <w:tmpl w:val="E39C5C56"/>
    <w:lvl w:ilvl="0">
      <w:start w:val="1"/>
      <w:numFmt w:val="decimal"/>
      <w:lvlText w:val="%1)"/>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39E71C01"/>
    <w:multiLevelType w:val="multilevel"/>
    <w:tmpl w:val="086A0DC6"/>
    <w:styleLink w:val="FFBullets"/>
    <w:lvl w:ilvl="0">
      <w:start w:val="1"/>
      <w:numFmt w:val="bullet"/>
      <w:pStyle w:val="3"/>
      <w:lvlText w:val="█"/>
      <w:lvlJc w:val="left"/>
      <w:pPr>
        <w:tabs>
          <w:tab w:val="num" w:pos="2552"/>
        </w:tabs>
        <w:ind w:left="2155" w:hanging="170"/>
      </w:pPr>
      <w:rPr>
        <w:rFonts w:ascii="Lucida Console" w:hAnsi="Lucida Console" w:hint="default"/>
        <w:b w:val="0"/>
        <w:i w:val="0"/>
        <w:color w:val="00703C"/>
        <w:position w:val="4"/>
        <w:sz w:val="10"/>
      </w:rPr>
    </w:lvl>
    <w:lvl w:ilvl="1">
      <w:start w:val="1"/>
      <w:numFmt w:val="bullet"/>
      <w:pStyle w:val="FFGhostBullet"/>
      <w:lvlText w:val="█"/>
      <w:lvlJc w:val="left"/>
      <w:pPr>
        <w:tabs>
          <w:tab w:val="num" w:pos="2552"/>
        </w:tabs>
        <w:ind w:left="2155" w:hanging="170"/>
      </w:pPr>
      <w:rPr>
        <w:rFonts w:ascii="Lucida Console" w:hAnsi="Lucida Console" w:hint="default"/>
        <w:b w:val="0"/>
        <w:i w:val="0"/>
        <w:color w:val="FFFFFF"/>
        <w:position w:val="4"/>
        <w:sz w:val="10"/>
      </w:rPr>
    </w:lvl>
    <w:lvl w:ilvl="2">
      <w:start w:val="1"/>
      <w:numFmt w:val="bullet"/>
      <w:pStyle w:val="4"/>
      <w:lvlText w:val=""/>
      <w:lvlJc w:val="left"/>
      <w:pPr>
        <w:tabs>
          <w:tab w:val="num" w:pos="2722"/>
        </w:tabs>
        <w:ind w:left="2325" w:hanging="170"/>
      </w:pPr>
      <w:rPr>
        <w:rFonts w:ascii="Wingdings 3" w:hAnsi="Wingdings 3" w:hint="default"/>
        <w:b w:val="0"/>
        <w:i w:val="0"/>
        <w:color w:val="00703C"/>
        <w:sz w:val="16"/>
      </w:rPr>
    </w:lvl>
    <w:lvl w:ilvl="3">
      <w:start w:val="1"/>
      <w:numFmt w:val="bullet"/>
      <w:pStyle w:val="FFGhostSubbullet"/>
      <w:lvlText w:val="█"/>
      <w:lvlJc w:val="left"/>
      <w:pPr>
        <w:ind w:left="2325" w:hanging="170"/>
      </w:pPr>
      <w:rPr>
        <w:rFonts w:ascii="Lucida Console" w:hAnsi="Lucida Console" w:hint="default"/>
        <w:b w:val="0"/>
        <w:i w:val="0"/>
        <w:color w:val="FFFFFF"/>
        <w:position w:val="4"/>
        <w:sz w:val="1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C23405C"/>
    <w:multiLevelType w:val="hybridMultilevel"/>
    <w:tmpl w:val="8BD889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CB15BA4"/>
    <w:multiLevelType w:val="hybridMultilevel"/>
    <w:tmpl w:val="EF6235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51101FE0"/>
    <w:multiLevelType w:val="hybridMultilevel"/>
    <w:tmpl w:val="A906EFD6"/>
    <w:lvl w:ilvl="0" w:tplc="EC9E276C">
      <w:start w:val="1"/>
      <w:numFmt w:val="low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8A33ADF"/>
    <w:multiLevelType w:val="multilevel"/>
    <w:tmpl w:val="9A704086"/>
    <w:lvl w:ilvl="0">
      <w:start w:val="1"/>
      <w:numFmt w:val="decimal"/>
      <w:pStyle w:val="a"/>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5D390ACD"/>
    <w:multiLevelType w:val="hybridMultilevel"/>
    <w:tmpl w:val="82BE16C4"/>
    <w:lvl w:ilvl="0" w:tplc="C8829E78">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0B159B"/>
    <w:multiLevelType w:val="multilevel"/>
    <w:tmpl w:val="F38028CC"/>
    <w:styleLink w:val="2"/>
    <w:lvl w:ilvl="0">
      <w:start w:val="1"/>
      <w:numFmt w:val="decimal"/>
      <w:suff w:val="space"/>
      <w:lvlText w:val="%1."/>
      <w:lvlJc w:val="left"/>
      <w:pPr>
        <w:ind w:left="11" w:hanging="11"/>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8">
    <w:nsid w:val="721325C2"/>
    <w:multiLevelType w:val="hybridMultilevel"/>
    <w:tmpl w:val="5E8812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78302B8E"/>
    <w:multiLevelType w:val="hybridMultilevel"/>
    <w:tmpl w:val="26A04D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7F756D53"/>
    <w:multiLevelType w:val="hybridMultilevel"/>
    <w:tmpl w:val="8EE6757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F7F7FE2"/>
    <w:multiLevelType w:val="multilevel"/>
    <w:tmpl w:val="C854E434"/>
    <w:styleLink w:val="1"/>
    <w:lvl w:ilvl="0">
      <w:start w:val="1"/>
      <w:numFmt w:val="decimal"/>
      <w:suff w:val="space"/>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17"/>
  </w:num>
  <w:num w:numId="3">
    <w:abstractNumId w:val="8"/>
  </w:num>
  <w:num w:numId="4">
    <w:abstractNumId w:val="10"/>
  </w:num>
  <w:num w:numId="5">
    <w:abstractNumId w:val="19"/>
  </w:num>
  <w:num w:numId="6">
    <w:abstractNumId w:val="9"/>
  </w:num>
  <w:num w:numId="7">
    <w:abstractNumId w:val="18"/>
  </w:num>
  <w:num w:numId="8">
    <w:abstractNumId w:val="13"/>
  </w:num>
  <w:num w:numId="9">
    <w:abstractNumId w:val="12"/>
  </w:num>
  <w:num w:numId="10">
    <w:abstractNumId w:val="4"/>
  </w:num>
  <w:num w:numId="11">
    <w:abstractNumId w:val="2"/>
  </w:num>
  <w:num w:numId="12">
    <w:abstractNumId w:val="5"/>
  </w:num>
  <w:num w:numId="13">
    <w:abstractNumId w:val="14"/>
  </w:num>
  <w:num w:numId="14">
    <w:abstractNumId w:val="20"/>
  </w:num>
  <w:num w:numId="15">
    <w:abstractNumId w:val="0"/>
  </w:num>
  <w:num w:numId="16">
    <w:abstractNumId w:val="7"/>
  </w:num>
  <w:num w:numId="17">
    <w:abstractNumId w:val="11"/>
  </w:num>
  <w:num w:numId="18">
    <w:abstractNumId w:val="1"/>
  </w:num>
  <w:num w:numId="19">
    <w:abstractNumId w:val="3"/>
  </w:num>
  <w:num w:numId="20">
    <w:abstractNumId w:val="6"/>
  </w:num>
  <w:num w:numId="21">
    <w:abstractNumId w:val="16"/>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09"/>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8BF"/>
    <w:rsid w:val="0000010E"/>
    <w:rsid w:val="00000872"/>
    <w:rsid w:val="00001703"/>
    <w:rsid w:val="000017F3"/>
    <w:rsid w:val="00001C3A"/>
    <w:rsid w:val="00001D23"/>
    <w:rsid w:val="00001EA8"/>
    <w:rsid w:val="000023E2"/>
    <w:rsid w:val="00002799"/>
    <w:rsid w:val="000028CE"/>
    <w:rsid w:val="00003094"/>
    <w:rsid w:val="00003295"/>
    <w:rsid w:val="000042DE"/>
    <w:rsid w:val="00004653"/>
    <w:rsid w:val="00004819"/>
    <w:rsid w:val="00004AE4"/>
    <w:rsid w:val="00004D2F"/>
    <w:rsid w:val="00005AA0"/>
    <w:rsid w:val="00005E3C"/>
    <w:rsid w:val="0000631F"/>
    <w:rsid w:val="00006FDF"/>
    <w:rsid w:val="00007A72"/>
    <w:rsid w:val="000103B9"/>
    <w:rsid w:val="00011327"/>
    <w:rsid w:val="000115A9"/>
    <w:rsid w:val="00011A6A"/>
    <w:rsid w:val="00011F23"/>
    <w:rsid w:val="0001252B"/>
    <w:rsid w:val="00013E27"/>
    <w:rsid w:val="000140B0"/>
    <w:rsid w:val="00014650"/>
    <w:rsid w:val="00014E7C"/>
    <w:rsid w:val="00014F3C"/>
    <w:rsid w:val="00015CB6"/>
    <w:rsid w:val="00015FC3"/>
    <w:rsid w:val="00016543"/>
    <w:rsid w:val="00016A2D"/>
    <w:rsid w:val="00016FDC"/>
    <w:rsid w:val="00017037"/>
    <w:rsid w:val="0001725B"/>
    <w:rsid w:val="00017577"/>
    <w:rsid w:val="000176BD"/>
    <w:rsid w:val="0001782B"/>
    <w:rsid w:val="00017D95"/>
    <w:rsid w:val="00020071"/>
    <w:rsid w:val="0002076E"/>
    <w:rsid w:val="00020FA0"/>
    <w:rsid w:val="00021832"/>
    <w:rsid w:val="00021CDC"/>
    <w:rsid w:val="000224B9"/>
    <w:rsid w:val="00022A47"/>
    <w:rsid w:val="00022B60"/>
    <w:rsid w:val="00023B2F"/>
    <w:rsid w:val="00023DC0"/>
    <w:rsid w:val="0002498E"/>
    <w:rsid w:val="00025225"/>
    <w:rsid w:val="000256AA"/>
    <w:rsid w:val="000258CE"/>
    <w:rsid w:val="00025A48"/>
    <w:rsid w:val="00025C31"/>
    <w:rsid w:val="000272FA"/>
    <w:rsid w:val="00027B56"/>
    <w:rsid w:val="00027E63"/>
    <w:rsid w:val="000306BF"/>
    <w:rsid w:val="00031193"/>
    <w:rsid w:val="0003123D"/>
    <w:rsid w:val="000314D8"/>
    <w:rsid w:val="00031840"/>
    <w:rsid w:val="00031885"/>
    <w:rsid w:val="00032F58"/>
    <w:rsid w:val="0003353B"/>
    <w:rsid w:val="0003367B"/>
    <w:rsid w:val="00033BAE"/>
    <w:rsid w:val="00033D08"/>
    <w:rsid w:val="00034334"/>
    <w:rsid w:val="00034974"/>
    <w:rsid w:val="00035175"/>
    <w:rsid w:val="00035535"/>
    <w:rsid w:val="000355D2"/>
    <w:rsid w:val="000359C9"/>
    <w:rsid w:val="000362E4"/>
    <w:rsid w:val="00036736"/>
    <w:rsid w:val="00036C37"/>
    <w:rsid w:val="00036DF2"/>
    <w:rsid w:val="00037101"/>
    <w:rsid w:val="00037416"/>
    <w:rsid w:val="00037F42"/>
    <w:rsid w:val="00040317"/>
    <w:rsid w:val="00040D70"/>
    <w:rsid w:val="00040DA3"/>
    <w:rsid w:val="00041642"/>
    <w:rsid w:val="0004221C"/>
    <w:rsid w:val="00042555"/>
    <w:rsid w:val="00042596"/>
    <w:rsid w:val="00042777"/>
    <w:rsid w:val="00042AD1"/>
    <w:rsid w:val="000431D2"/>
    <w:rsid w:val="00043BCA"/>
    <w:rsid w:val="00043CD1"/>
    <w:rsid w:val="00043F71"/>
    <w:rsid w:val="000444CB"/>
    <w:rsid w:val="000448B0"/>
    <w:rsid w:val="00045A02"/>
    <w:rsid w:val="0004645E"/>
    <w:rsid w:val="00046C30"/>
    <w:rsid w:val="00046C41"/>
    <w:rsid w:val="000470E5"/>
    <w:rsid w:val="00047C1E"/>
    <w:rsid w:val="00050D4C"/>
    <w:rsid w:val="00050E30"/>
    <w:rsid w:val="00051068"/>
    <w:rsid w:val="00051395"/>
    <w:rsid w:val="00051B51"/>
    <w:rsid w:val="00051E60"/>
    <w:rsid w:val="00052317"/>
    <w:rsid w:val="00052587"/>
    <w:rsid w:val="00052D51"/>
    <w:rsid w:val="00052E96"/>
    <w:rsid w:val="00052F44"/>
    <w:rsid w:val="0005335D"/>
    <w:rsid w:val="00053455"/>
    <w:rsid w:val="00053503"/>
    <w:rsid w:val="00053516"/>
    <w:rsid w:val="00054309"/>
    <w:rsid w:val="00054632"/>
    <w:rsid w:val="00054CB5"/>
    <w:rsid w:val="00054D56"/>
    <w:rsid w:val="000556B8"/>
    <w:rsid w:val="0005585E"/>
    <w:rsid w:val="0005595D"/>
    <w:rsid w:val="00055FEF"/>
    <w:rsid w:val="00056A93"/>
    <w:rsid w:val="00057368"/>
    <w:rsid w:val="00057C2E"/>
    <w:rsid w:val="00060155"/>
    <w:rsid w:val="000602FB"/>
    <w:rsid w:val="00060525"/>
    <w:rsid w:val="000606A5"/>
    <w:rsid w:val="0006079D"/>
    <w:rsid w:val="000607B9"/>
    <w:rsid w:val="00060CB6"/>
    <w:rsid w:val="00060DA6"/>
    <w:rsid w:val="000610D7"/>
    <w:rsid w:val="0006132E"/>
    <w:rsid w:val="00061634"/>
    <w:rsid w:val="000616F4"/>
    <w:rsid w:val="00061755"/>
    <w:rsid w:val="000627E3"/>
    <w:rsid w:val="00062B9A"/>
    <w:rsid w:val="00062E5B"/>
    <w:rsid w:val="00062F25"/>
    <w:rsid w:val="000641B4"/>
    <w:rsid w:val="000646A2"/>
    <w:rsid w:val="0006474B"/>
    <w:rsid w:val="00064FE9"/>
    <w:rsid w:val="00065341"/>
    <w:rsid w:val="000653FF"/>
    <w:rsid w:val="00065C6A"/>
    <w:rsid w:val="00065CD1"/>
    <w:rsid w:val="000671E2"/>
    <w:rsid w:val="00067697"/>
    <w:rsid w:val="000678DC"/>
    <w:rsid w:val="00070A09"/>
    <w:rsid w:val="0007119A"/>
    <w:rsid w:val="00071474"/>
    <w:rsid w:val="00071627"/>
    <w:rsid w:val="00071FA4"/>
    <w:rsid w:val="00072306"/>
    <w:rsid w:val="000726B4"/>
    <w:rsid w:val="0007274B"/>
    <w:rsid w:val="00072A5B"/>
    <w:rsid w:val="00072A71"/>
    <w:rsid w:val="00072CA9"/>
    <w:rsid w:val="00072EC5"/>
    <w:rsid w:val="00072F64"/>
    <w:rsid w:val="00073223"/>
    <w:rsid w:val="0007359E"/>
    <w:rsid w:val="00073EDC"/>
    <w:rsid w:val="00073FF5"/>
    <w:rsid w:val="0007495D"/>
    <w:rsid w:val="000749A4"/>
    <w:rsid w:val="00074A74"/>
    <w:rsid w:val="00074C38"/>
    <w:rsid w:val="0007520D"/>
    <w:rsid w:val="0007579B"/>
    <w:rsid w:val="0007588E"/>
    <w:rsid w:val="00075F6A"/>
    <w:rsid w:val="0007600D"/>
    <w:rsid w:val="0007606F"/>
    <w:rsid w:val="0007673F"/>
    <w:rsid w:val="00076CF5"/>
    <w:rsid w:val="000801E8"/>
    <w:rsid w:val="00081009"/>
    <w:rsid w:val="00081152"/>
    <w:rsid w:val="00081231"/>
    <w:rsid w:val="00081B8C"/>
    <w:rsid w:val="000824BD"/>
    <w:rsid w:val="00082ECE"/>
    <w:rsid w:val="000837AD"/>
    <w:rsid w:val="00083AC5"/>
    <w:rsid w:val="00083BF1"/>
    <w:rsid w:val="00083D8A"/>
    <w:rsid w:val="000840C1"/>
    <w:rsid w:val="000847DC"/>
    <w:rsid w:val="000848BB"/>
    <w:rsid w:val="000849DA"/>
    <w:rsid w:val="00085340"/>
    <w:rsid w:val="0008562B"/>
    <w:rsid w:val="00085697"/>
    <w:rsid w:val="00085727"/>
    <w:rsid w:val="00085A3D"/>
    <w:rsid w:val="0008618F"/>
    <w:rsid w:val="000875D0"/>
    <w:rsid w:val="0008773D"/>
    <w:rsid w:val="00087F95"/>
    <w:rsid w:val="00090244"/>
    <w:rsid w:val="00090280"/>
    <w:rsid w:val="000906B6"/>
    <w:rsid w:val="00090D3D"/>
    <w:rsid w:val="00090F12"/>
    <w:rsid w:val="00090F53"/>
    <w:rsid w:val="00090F62"/>
    <w:rsid w:val="00091989"/>
    <w:rsid w:val="00091BC8"/>
    <w:rsid w:val="00092181"/>
    <w:rsid w:val="0009281D"/>
    <w:rsid w:val="00092D46"/>
    <w:rsid w:val="00092DC4"/>
    <w:rsid w:val="00092ECB"/>
    <w:rsid w:val="00093087"/>
    <w:rsid w:val="00093196"/>
    <w:rsid w:val="00093332"/>
    <w:rsid w:val="00093D7E"/>
    <w:rsid w:val="000940E8"/>
    <w:rsid w:val="00094DF6"/>
    <w:rsid w:val="00094FF8"/>
    <w:rsid w:val="00095154"/>
    <w:rsid w:val="000951C5"/>
    <w:rsid w:val="00095220"/>
    <w:rsid w:val="00095734"/>
    <w:rsid w:val="000965A0"/>
    <w:rsid w:val="0009681E"/>
    <w:rsid w:val="000974EF"/>
    <w:rsid w:val="0009768C"/>
    <w:rsid w:val="00097978"/>
    <w:rsid w:val="000A00FB"/>
    <w:rsid w:val="000A031A"/>
    <w:rsid w:val="000A072C"/>
    <w:rsid w:val="000A0D1F"/>
    <w:rsid w:val="000A0D7A"/>
    <w:rsid w:val="000A1107"/>
    <w:rsid w:val="000A14CB"/>
    <w:rsid w:val="000A1680"/>
    <w:rsid w:val="000A16E5"/>
    <w:rsid w:val="000A1B54"/>
    <w:rsid w:val="000A1D5C"/>
    <w:rsid w:val="000A1F47"/>
    <w:rsid w:val="000A2975"/>
    <w:rsid w:val="000A3376"/>
    <w:rsid w:val="000A3916"/>
    <w:rsid w:val="000A46F5"/>
    <w:rsid w:val="000A4AEB"/>
    <w:rsid w:val="000A4E6E"/>
    <w:rsid w:val="000A4ECF"/>
    <w:rsid w:val="000A5730"/>
    <w:rsid w:val="000A580D"/>
    <w:rsid w:val="000A5A64"/>
    <w:rsid w:val="000A6843"/>
    <w:rsid w:val="000A7422"/>
    <w:rsid w:val="000A7C0E"/>
    <w:rsid w:val="000A7E34"/>
    <w:rsid w:val="000B035F"/>
    <w:rsid w:val="000B039B"/>
    <w:rsid w:val="000B12AC"/>
    <w:rsid w:val="000B1699"/>
    <w:rsid w:val="000B1CB4"/>
    <w:rsid w:val="000B1D09"/>
    <w:rsid w:val="000B2168"/>
    <w:rsid w:val="000B233C"/>
    <w:rsid w:val="000B2A2C"/>
    <w:rsid w:val="000B3559"/>
    <w:rsid w:val="000B3761"/>
    <w:rsid w:val="000B48C1"/>
    <w:rsid w:val="000B490B"/>
    <w:rsid w:val="000B4B18"/>
    <w:rsid w:val="000B4F32"/>
    <w:rsid w:val="000B507E"/>
    <w:rsid w:val="000B52E9"/>
    <w:rsid w:val="000B5875"/>
    <w:rsid w:val="000B5C93"/>
    <w:rsid w:val="000B65D1"/>
    <w:rsid w:val="000B68FF"/>
    <w:rsid w:val="000B744C"/>
    <w:rsid w:val="000B74EB"/>
    <w:rsid w:val="000B7DCC"/>
    <w:rsid w:val="000C08B6"/>
    <w:rsid w:val="000C0CA6"/>
    <w:rsid w:val="000C0D77"/>
    <w:rsid w:val="000C0F85"/>
    <w:rsid w:val="000C11EA"/>
    <w:rsid w:val="000C1EFB"/>
    <w:rsid w:val="000C2253"/>
    <w:rsid w:val="000C253E"/>
    <w:rsid w:val="000C2702"/>
    <w:rsid w:val="000C2ADE"/>
    <w:rsid w:val="000C3F3A"/>
    <w:rsid w:val="000C4CF2"/>
    <w:rsid w:val="000C4DE9"/>
    <w:rsid w:val="000C515D"/>
    <w:rsid w:val="000C521F"/>
    <w:rsid w:val="000C5278"/>
    <w:rsid w:val="000C5783"/>
    <w:rsid w:val="000C5AAA"/>
    <w:rsid w:val="000C5DCA"/>
    <w:rsid w:val="000C6682"/>
    <w:rsid w:val="000C6C4F"/>
    <w:rsid w:val="000C7000"/>
    <w:rsid w:val="000C797A"/>
    <w:rsid w:val="000C7A95"/>
    <w:rsid w:val="000C7C50"/>
    <w:rsid w:val="000D05BA"/>
    <w:rsid w:val="000D10B1"/>
    <w:rsid w:val="000D135E"/>
    <w:rsid w:val="000D1402"/>
    <w:rsid w:val="000D16FE"/>
    <w:rsid w:val="000D1920"/>
    <w:rsid w:val="000D2840"/>
    <w:rsid w:val="000D28C0"/>
    <w:rsid w:val="000D2F45"/>
    <w:rsid w:val="000D34DF"/>
    <w:rsid w:val="000D3E9B"/>
    <w:rsid w:val="000D4739"/>
    <w:rsid w:val="000D49FE"/>
    <w:rsid w:val="000D4A32"/>
    <w:rsid w:val="000D4AA6"/>
    <w:rsid w:val="000D51C3"/>
    <w:rsid w:val="000D62BB"/>
    <w:rsid w:val="000D65A4"/>
    <w:rsid w:val="000D66CD"/>
    <w:rsid w:val="000D67A5"/>
    <w:rsid w:val="000D6AE4"/>
    <w:rsid w:val="000D6CF9"/>
    <w:rsid w:val="000D6DB0"/>
    <w:rsid w:val="000D6FE5"/>
    <w:rsid w:val="000D700E"/>
    <w:rsid w:val="000D7027"/>
    <w:rsid w:val="000D7673"/>
    <w:rsid w:val="000D76BD"/>
    <w:rsid w:val="000D7966"/>
    <w:rsid w:val="000D7FAE"/>
    <w:rsid w:val="000E0F15"/>
    <w:rsid w:val="000E1324"/>
    <w:rsid w:val="000E16EC"/>
    <w:rsid w:val="000E24D7"/>
    <w:rsid w:val="000E25CA"/>
    <w:rsid w:val="000E28D3"/>
    <w:rsid w:val="000E298F"/>
    <w:rsid w:val="000E3CBF"/>
    <w:rsid w:val="000E40FB"/>
    <w:rsid w:val="000E42A1"/>
    <w:rsid w:val="000E52FC"/>
    <w:rsid w:val="000E54CA"/>
    <w:rsid w:val="000E5562"/>
    <w:rsid w:val="000E5C67"/>
    <w:rsid w:val="000E5DA0"/>
    <w:rsid w:val="000E61C4"/>
    <w:rsid w:val="000E6251"/>
    <w:rsid w:val="000E6828"/>
    <w:rsid w:val="000E767A"/>
    <w:rsid w:val="000E7A48"/>
    <w:rsid w:val="000E7BA4"/>
    <w:rsid w:val="000F015F"/>
    <w:rsid w:val="000F0217"/>
    <w:rsid w:val="000F04F9"/>
    <w:rsid w:val="000F0844"/>
    <w:rsid w:val="000F0A58"/>
    <w:rsid w:val="000F1232"/>
    <w:rsid w:val="000F14CA"/>
    <w:rsid w:val="000F15B6"/>
    <w:rsid w:val="000F1946"/>
    <w:rsid w:val="000F19DF"/>
    <w:rsid w:val="000F25D6"/>
    <w:rsid w:val="000F2F41"/>
    <w:rsid w:val="000F3393"/>
    <w:rsid w:val="000F36FD"/>
    <w:rsid w:val="000F3E5E"/>
    <w:rsid w:val="000F4773"/>
    <w:rsid w:val="000F4A32"/>
    <w:rsid w:val="000F538B"/>
    <w:rsid w:val="000F5F67"/>
    <w:rsid w:val="000F5FF5"/>
    <w:rsid w:val="000F71E3"/>
    <w:rsid w:val="000F76EF"/>
    <w:rsid w:val="000F79E8"/>
    <w:rsid w:val="000F7B91"/>
    <w:rsid w:val="00101B6A"/>
    <w:rsid w:val="00101F1F"/>
    <w:rsid w:val="00102223"/>
    <w:rsid w:val="00102372"/>
    <w:rsid w:val="00102FBB"/>
    <w:rsid w:val="0010485C"/>
    <w:rsid w:val="00104DDB"/>
    <w:rsid w:val="0010507D"/>
    <w:rsid w:val="001050B2"/>
    <w:rsid w:val="001052C5"/>
    <w:rsid w:val="00105334"/>
    <w:rsid w:val="00105613"/>
    <w:rsid w:val="00105B90"/>
    <w:rsid w:val="00106008"/>
    <w:rsid w:val="00106363"/>
    <w:rsid w:val="00106E39"/>
    <w:rsid w:val="0010740A"/>
    <w:rsid w:val="001077ED"/>
    <w:rsid w:val="00107A96"/>
    <w:rsid w:val="00107BAD"/>
    <w:rsid w:val="00110BB2"/>
    <w:rsid w:val="00111138"/>
    <w:rsid w:val="00111211"/>
    <w:rsid w:val="001114B1"/>
    <w:rsid w:val="001114BF"/>
    <w:rsid w:val="00111824"/>
    <w:rsid w:val="001127A6"/>
    <w:rsid w:val="00112959"/>
    <w:rsid w:val="00112C68"/>
    <w:rsid w:val="001131A8"/>
    <w:rsid w:val="00113267"/>
    <w:rsid w:val="00113474"/>
    <w:rsid w:val="0011390D"/>
    <w:rsid w:val="00113BEF"/>
    <w:rsid w:val="00113C27"/>
    <w:rsid w:val="001140BD"/>
    <w:rsid w:val="0011512D"/>
    <w:rsid w:val="00115E1A"/>
    <w:rsid w:val="0011615E"/>
    <w:rsid w:val="001164A2"/>
    <w:rsid w:val="00116506"/>
    <w:rsid w:val="00116A6A"/>
    <w:rsid w:val="00116B13"/>
    <w:rsid w:val="00116F61"/>
    <w:rsid w:val="00117BB2"/>
    <w:rsid w:val="001204DC"/>
    <w:rsid w:val="0012055C"/>
    <w:rsid w:val="001208F4"/>
    <w:rsid w:val="00120A00"/>
    <w:rsid w:val="00120E81"/>
    <w:rsid w:val="00120E91"/>
    <w:rsid w:val="001210CF"/>
    <w:rsid w:val="0012110C"/>
    <w:rsid w:val="00121363"/>
    <w:rsid w:val="00121A13"/>
    <w:rsid w:val="00121B63"/>
    <w:rsid w:val="00121C1C"/>
    <w:rsid w:val="00121D88"/>
    <w:rsid w:val="001222FC"/>
    <w:rsid w:val="00122841"/>
    <w:rsid w:val="00122937"/>
    <w:rsid w:val="00122CE7"/>
    <w:rsid w:val="00122EBE"/>
    <w:rsid w:val="0012312D"/>
    <w:rsid w:val="00123301"/>
    <w:rsid w:val="00123FA7"/>
    <w:rsid w:val="0012466B"/>
    <w:rsid w:val="001247D8"/>
    <w:rsid w:val="00124A14"/>
    <w:rsid w:val="00124B63"/>
    <w:rsid w:val="00124FE5"/>
    <w:rsid w:val="00125016"/>
    <w:rsid w:val="0012524E"/>
    <w:rsid w:val="001260E4"/>
    <w:rsid w:val="0012612E"/>
    <w:rsid w:val="001261B9"/>
    <w:rsid w:val="00126DBB"/>
    <w:rsid w:val="00126FC5"/>
    <w:rsid w:val="0012798F"/>
    <w:rsid w:val="001279D6"/>
    <w:rsid w:val="00127A71"/>
    <w:rsid w:val="001303C2"/>
    <w:rsid w:val="00130BA5"/>
    <w:rsid w:val="00131086"/>
    <w:rsid w:val="00131191"/>
    <w:rsid w:val="001311B7"/>
    <w:rsid w:val="001315B4"/>
    <w:rsid w:val="00131863"/>
    <w:rsid w:val="001319D1"/>
    <w:rsid w:val="00131C58"/>
    <w:rsid w:val="00132703"/>
    <w:rsid w:val="00132837"/>
    <w:rsid w:val="001328FC"/>
    <w:rsid w:val="00132E21"/>
    <w:rsid w:val="00132F04"/>
    <w:rsid w:val="001330AA"/>
    <w:rsid w:val="001335CD"/>
    <w:rsid w:val="00133B75"/>
    <w:rsid w:val="00133BC5"/>
    <w:rsid w:val="00133C3D"/>
    <w:rsid w:val="00133D7F"/>
    <w:rsid w:val="00133F1D"/>
    <w:rsid w:val="00133F3A"/>
    <w:rsid w:val="00134881"/>
    <w:rsid w:val="00134945"/>
    <w:rsid w:val="00134AB0"/>
    <w:rsid w:val="00135288"/>
    <w:rsid w:val="00135E6C"/>
    <w:rsid w:val="00136124"/>
    <w:rsid w:val="0013612F"/>
    <w:rsid w:val="0013671C"/>
    <w:rsid w:val="001367E9"/>
    <w:rsid w:val="00136D20"/>
    <w:rsid w:val="0013700B"/>
    <w:rsid w:val="00137F7B"/>
    <w:rsid w:val="00137FC1"/>
    <w:rsid w:val="0014023C"/>
    <w:rsid w:val="00140BAD"/>
    <w:rsid w:val="0014158E"/>
    <w:rsid w:val="00141C3B"/>
    <w:rsid w:val="00142609"/>
    <w:rsid w:val="0014295C"/>
    <w:rsid w:val="001436D6"/>
    <w:rsid w:val="00144180"/>
    <w:rsid w:val="0014432B"/>
    <w:rsid w:val="00144CB1"/>
    <w:rsid w:val="001456EE"/>
    <w:rsid w:val="00145A45"/>
    <w:rsid w:val="00145AC9"/>
    <w:rsid w:val="001469EF"/>
    <w:rsid w:val="00146B8D"/>
    <w:rsid w:val="0014775A"/>
    <w:rsid w:val="0015016A"/>
    <w:rsid w:val="001504CA"/>
    <w:rsid w:val="001511C4"/>
    <w:rsid w:val="001524F2"/>
    <w:rsid w:val="0015292F"/>
    <w:rsid w:val="00152B98"/>
    <w:rsid w:val="00152C6B"/>
    <w:rsid w:val="00152DE0"/>
    <w:rsid w:val="0015363E"/>
    <w:rsid w:val="00153927"/>
    <w:rsid w:val="00153BDE"/>
    <w:rsid w:val="001542CF"/>
    <w:rsid w:val="0015445D"/>
    <w:rsid w:val="00154843"/>
    <w:rsid w:val="0015637E"/>
    <w:rsid w:val="00156736"/>
    <w:rsid w:val="00156B49"/>
    <w:rsid w:val="00156BE5"/>
    <w:rsid w:val="00156E87"/>
    <w:rsid w:val="00156F13"/>
    <w:rsid w:val="0016000C"/>
    <w:rsid w:val="00160420"/>
    <w:rsid w:val="001608A2"/>
    <w:rsid w:val="00160941"/>
    <w:rsid w:val="00160970"/>
    <w:rsid w:val="00160F8A"/>
    <w:rsid w:val="001612E1"/>
    <w:rsid w:val="001613DC"/>
    <w:rsid w:val="001617EE"/>
    <w:rsid w:val="00161F90"/>
    <w:rsid w:val="001624D0"/>
    <w:rsid w:val="00162CFA"/>
    <w:rsid w:val="00163B40"/>
    <w:rsid w:val="00163CAF"/>
    <w:rsid w:val="001647EF"/>
    <w:rsid w:val="00164925"/>
    <w:rsid w:val="00164A30"/>
    <w:rsid w:val="00165139"/>
    <w:rsid w:val="00165455"/>
    <w:rsid w:val="0016637F"/>
    <w:rsid w:val="00166E75"/>
    <w:rsid w:val="00167122"/>
    <w:rsid w:val="00167347"/>
    <w:rsid w:val="00167952"/>
    <w:rsid w:val="00170335"/>
    <w:rsid w:val="001708AC"/>
    <w:rsid w:val="001719BD"/>
    <w:rsid w:val="001721CB"/>
    <w:rsid w:val="001721FB"/>
    <w:rsid w:val="001723CB"/>
    <w:rsid w:val="001728A7"/>
    <w:rsid w:val="00172B6A"/>
    <w:rsid w:val="00172E81"/>
    <w:rsid w:val="00172F12"/>
    <w:rsid w:val="00173293"/>
    <w:rsid w:val="001732FB"/>
    <w:rsid w:val="00173474"/>
    <w:rsid w:val="00173C01"/>
    <w:rsid w:val="00173ED6"/>
    <w:rsid w:val="00174055"/>
    <w:rsid w:val="0017437F"/>
    <w:rsid w:val="00174757"/>
    <w:rsid w:val="00174B74"/>
    <w:rsid w:val="00174E66"/>
    <w:rsid w:val="001753A3"/>
    <w:rsid w:val="00175CE4"/>
    <w:rsid w:val="00175D86"/>
    <w:rsid w:val="00175DD4"/>
    <w:rsid w:val="00175FF8"/>
    <w:rsid w:val="00176444"/>
    <w:rsid w:val="00177738"/>
    <w:rsid w:val="00177FEE"/>
    <w:rsid w:val="0018013B"/>
    <w:rsid w:val="0018072A"/>
    <w:rsid w:val="00180882"/>
    <w:rsid w:val="00180B0E"/>
    <w:rsid w:val="001812C3"/>
    <w:rsid w:val="0018188F"/>
    <w:rsid w:val="00182010"/>
    <w:rsid w:val="00182424"/>
    <w:rsid w:val="001827EB"/>
    <w:rsid w:val="00182C2A"/>
    <w:rsid w:val="00182CAD"/>
    <w:rsid w:val="0018345C"/>
    <w:rsid w:val="0018348B"/>
    <w:rsid w:val="00184458"/>
    <w:rsid w:val="00184E8A"/>
    <w:rsid w:val="00185024"/>
    <w:rsid w:val="00185377"/>
    <w:rsid w:val="00185425"/>
    <w:rsid w:val="00185C77"/>
    <w:rsid w:val="0018615C"/>
    <w:rsid w:val="0018623A"/>
    <w:rsid w:val="00186385"/>
    <w:rsid w:val="0018683E"/>
    <w:rsid w:val="00186FEA"/>
    <w:rsid w:val="001879C5"/>
    <w:rsid w:val="00187FE5"/>
    <w:rsid w:val="00190239"/>
    <w:rsid w:val="00190527"/>
    <w:rsid w:val="00190C26"/>
    <w:rsid w:val="001919EB"/>
    <w:rsid w:val="00191B86"/>
    <w:rsid w:val="00191E17"/>
    <w:rsid w:val="00191F6C"/>
    <w:rsid w:val="001920C0"/>
    <w:rsid w:val="00192284"/>
    <w:rsid w:val="00194259"/>
    <w:rsid w:val="001942D3"/>
    <w:rsid w:val="00194444"/>
    <w:rsid w:val="00194591"/>
    <w:rsid w:val="00194F72"/>
    <w:rsid w:val="00195303"/>
    <w:rsid w:val="001959FC"/>
    <w:rsid w:val="00195F31"/>
    <w:rsid w:val="001960A0"/>
    <w:rsid w:val="001960FF"/>
    <w:rsid w:val="001976C8"/>
    <w:rsid w:val="00197732"/>
    <w:rsid w:val="00197B8D"/>
    <w:rsid w:val="001A1F2B"/>
    <w:rsid w:val="001A213A"/>
    <w:rsid w:val="001A239D"/>
    <w:rsid w:val="001A249E"/>
    <w:rsid w:val="001A29E9"/>
    <w:rsid w:val="001A2DCF"/>
    <w:rsid w:val="001A2EE1"/>
    <w:rsid w:val="001A3950"/>
    <w:rsid w:val="001A3A95"/>
    <w:rsid w:val="001A3D38"/>
    <w:rsid w:val="001A3EAB"/>
    <w:rsid w:val="001A41D9"/>
    <w:rsid w:val="001A4DB1"/>
    <w:rsid w:val="001A51AA"/>
    <w:rsid w:val="001A5262"/>
    <w:rsid w:val="001A54EF"/>
    <w:rsid w:val="001A5A86"/>
    <w:rsid w:val="001A5FA8"/>
    <w:rsid w:val="001A60F6"/>
    <w:rsid w:val="001A614C"/>
    <w:rsid w:val="001A6281"/>
    <w:rsid w:val="001A71F9"/>
    <w:rsid w:val="001A73A3"/>
    <w:rsid w:val="001A797E"/>
    <w:rsid w:val="001B084D"/>
    <w:rsid w:val="001B08B4"/>
    <w:rsid w:val="001B0EB9"/>
    <w:rsid w:val="001B145F"/>
    <w:rsid w:val="001B1949"/>
    <w:rsid w:val="001B194C"/>
    <w:rsid w:val="001B1ED9"/>
    <w:rsid w:val="001B21E3"/>
    <w:rsid w:val="001B2C10"/>
    <w:rsid w:val="001B3536"/>
    <w:rsid w:val="001B39CD"/>
    <w:rsid w:val="001B42FE"/>
    <w:rsid w:val="001B4421"/>
    <w:rsid w:val="001B4CE6"/>
    <w:rsid w:val="001B4D86"/>
    <w:rsid w:val="001B50D5"/>
    <w:rsid w:val="001B58E2"/>
    <w:rsid w:val="001B5C0F"/>
    <w:rsid w:val="001B5D1D"/>
    <w:rsid w:val="001B61B7"/>
    <w:rsid w:val="001B6AEC"/>
    <w:rsid w:val="001B6C9E"/>
    <w:rsid w:val="001B6D4C"/>
    <w:rsid w:val="001B7174"/>
    <w:rsid w:val="001B76F6"/>
    <w:rsid w:val="001B77F6"/>
    <w:rsid w:val="001C08E0"/>
    <w:rsid w:val="001C18EC"/>
    <w:rsid w:val="001C2305"/>
    <w:rsid w:val="001C28C8"/>
    <w:rsid w:val="001C2D9E"/>
    <w:rsid w:val="001C309B"/>
    <w:rsid w:val="001C3732"/>
    <w:rsid w:val="001C3A85"/>
    <w:rsid w:val="001C3E2F"/>
    <w:rsid w:val="001C3F52"/>
    <w:rsid w:val="001C427E"/>
    <w:rsid w:val="001C47C3"/>
    <w:rsid w:val="001C4820"/>
    <w:rsid w:val="001C48BF"/>
    <w:rsid w:val="001C4DC1"/>
    <w:rsid w:val="001C552C"/>
    <w:rsid w:val="001C5D66"/>
    <w:rsid w:val="001C63A6"/>
    <w:rsid w:val="001C690D"/>
    <w:rsid w:val="001C69F1"/>
    <w:rsid w:val="001C7366"/>
    <w:rsid w:val="001C7422"/>
    <w:rsid w:val="001C7A41"/>
    <w:rsid w:val="001D014C"/>
    <w:rsid w:val="001D073F"/>
    <w:rsid w:val="001D0CDF"/>
    <w:rsid w:val="001D13CB"/>
    <w:rsid w:val="001D16BF"/>
    <w:rsid w:val="001D19AB"/>
    <w:rsid w:val="001D1F70"/>
    <w:rsid w:val="001D1FCB"/>
    <w:rsid w:val="001D2268"/>
    <w:rsid w:val="001D28FD"/>
    <w:rsid w:val="001D35E4"/>
    <w:rsid w:val="001D37CD"/>
    <w:rsid w:val="001D3E9B"/>
    <w:rsid w:val="001D3EDA"/>
    <w:rsid w:val="001D4058"/>
    <w:rsid w:val="001D4540"/>
    <w:rsid w:val="001D4A12"/>
    <w:rsid w:val="001D4A63"/>
    <w:rsid w:val="001D4D00"/>
    <w:rsid w:val="001D515D"/>
    <w:rsid w:val="001D5485"/>
    <w:rsid w:val="001D5AF1"/>
    <w:rsid w:val="001D5B33"/>
    <w:rsid w:val="001D5E81"/>
    <w:rsid w:val="001D6208"/>
    <w:rsid w:val="001D6445"/>
    <w:rsid w:val="001D6622"/>
    <w:rsid w:val="001D6769"/>
    <w:rsid w:val="001D6781"/>
    <w:rsid w:val="001D67D3"/>
    <w:rsid w:val="001D6887"/>
    <w:rsid w:val="001D6909"/>
    <w:rsid w:val="001D7072"/>
    <w:rsid w:val="001D7706"/>
    <w:rsid w:val="001D7D3F"/>
    <w:rsid w:val="001E014E"/>
    <w:rsid w:val="001E1BB5"/>
    <w:rsid w:val="001E1EE6"/>
    <w:rsid w:val="001E22AF"/>
    <w:rsid w:val="001E2A41"/>
    <w:rsid w:val="001E2DDB"/>
    <w:rsid w:val="001E35A9"/>
    <w:rsid w:val="001E37D1"/>
    <w:rsid w:val="001E39DC"/>
    <w:rsid w:val="001E3B04"/>
    <w:rsid w:val="001E4BC8"/>
    <w:rsid w:val="001E611A"/>
    <w:rsid w:val="001E6A67"/>
    <w:rsid w:val="001E6C73"/>
    <w:rsid w:val="001E6F47"/>
    <w:rsid w:val="001E7666"/>
    <w:rsid w:val="001F0BFD"/>
    <w:rsid w:val="001F0C6A"/>
    <w:rsid w:val="001F1968"/>
    <w:rsid w:val="001F20CF"/>
    <w:rsid w:val="001F2118"/>
    <w:rsid w:val="001F2488"/>
    <w:rsid w:val="001F3B27"/>
    <w:rsid w:val="001F3D38"/>
    <w:rsid w:val="001F3DA2"/>
    <w:rsid w:val="001F4923"/>
    <w:rsid w:val="001F4AA3"/>
    <w:rsid w:val="001F540D"/>
    <w:rsid w:val="001F546F"/>
    <w:rsid w:val="001F5640"/>
    <w:rsid w:val="001F59C8"/>
    <w:rsid w:val="001F603D"/>
    <w:rsid w:val="001F7779"/>
    <w:rsid w:val="001F78D2"/>
    <w:rsid w:val="001F7ABF"/>
    <w:rsid w:val="001F7FBF"/>
    <w:rsid w:val="00200476"/>
    <w:rsid w:val="00200665"/>
    <w:rsid w:val="00200F14"/>
    <w:rsid w:val="0020136A"/>
    <w:rsid w:val="002025AB"/>
    <w:rsid w:val="00202804"/>
    <w:rsid w:val="00202BFA"/>
    <w:rsid w:val="00202C9E"/>
    <w:rsid w:val="002037F5"/>
    <w:rsid w:val="00203B6C"/>
    <w:rsid w:val="00203E85"/>
    <w:rsid w:val="0020419C"/>
    <w:rsid w:val="002042C2"/>
    <w:rsid w:val="002044E2"/>
    <w:rsid w:val="00204869"/>
    <w:rsid w:val="00204AC9"/>
    <w:rsid w:val="00204AE4"/>
    <w:rsid w:val="00204BB3"/>
    <w:rsid w:val="002051BD"/>
    <w:rsid w:val="002064FB"/>
    <w:rsid w:val="0020687C"/>
    <w:rsid w:val="00206C15"/>
    <w:rsid w:val="002079B8"/>
    <w:rsid w:val="002102D9"/>
    <w:rsid w:val="00210E25"/>
    <w:rsid w:val="00210E49"/>
    <w:rsid w:val="00210FF0"/>
    <w:rsid w:val="002111CD"/>
    <w:rsid w:val="002112AA"/>
    <w:rsid w:val="002114F1"/>
    <w:rsid w:val="002117E0"/>
    <w:rsid w:val="0021181A"/>
    <w:rsid w:val="00211C2B"/>
    <w:rsid w:val="00212514"/>
    <w:rsid w:val="00212E49"/>
    <w:rsid w:val="00213125"/>
    <w:rsid w:val="00213BA5"/>
    <w:rsid w:val="00213EB5"/>
    <w:rsid w:val="0021414C"/>
    <w:rsid w:val="00214457"/>
    <w:rsid w:val="002146A2"/>
    <w:rsid w:val="00214821"/>
    <w:rsid w:val="00214B59"/>
    <w:rsid w:val="00215314"/>
    <w:rsid w:val="002153B9"/>
    <w:rsid w:val="00215ACA"/>
    <w:rsid w:val="0021748A"/>
    <w:rsid w:val="002177BE"/>
    <w:rsid w:val="00217C74"/>
    <w:rsid w:val="0022015D"/>
    <w:rsid w:val="00220634"/>
    <w:rsid w:val="00220662"/>
    <w:rsid w:val="0022134F"/>
    <w:rsid w:val="00221C4F"/>
    <w:rsid w:val="00221DDE"/>
    <w:rsid w:val="00222A10"/>
    <w:rsid w:val="00222A20"/>
    <w:rsid w:val="00222C65"/>
    <w:rsid w:val="002248D7"/>
    <w:rsid w:val="00224D4D"/>
    <w:rsid w:val="00224EE3"/>
    <w:rsid w:val="0022547B"/>
    <w:rsid w:val="00225BA6"/>
    <w:rsid w:val="0022621D"/>
    <w:rsid w:val="00226299"/>
    <w:rsid w:val="0022701B"/>
    <w:rsid w:val="0022702E"/>
    <w:rsid w:val="002272A9"/>
    <w:rsid w:val="00230FC4"/>
    <w:rsid w:val="00230FFB"/>
    <w:rsid w:val="00231356"/>
    <w:rsid w:val="00231547"/>
    <w:rsid w:val="002338C5"/>
    <w:rsid w:val="00234141"/>
    <w:rsid w:val="0023477E"/>
    <w:rsid w:val="00234810"/>
    <w:rsid w:val="00234822"/>
    <w:rsid w:val="00234971"/>
    <w:rsid w:val="0023532F"/>
    <w:rsid w:val="00235B64"/>
    <w:rsid w:val="00235B86"/>
    <w:rsid w:val="00235C4B"/>
    <w:rsid w:val="00236647"/>
    <w:rsid w:val="00236A41"/>
    <w:rsid w:val="00236B99"/>
    <w:rsid w:val="00236F6A"/>
    <w:rsid w:val="00237C41"/>
    <w:rsid w:val="002401FE"/>
    <w:rsid w:val="00240256"/>
    <w:rsid w:val="0024054B"/>
    <w:rsid w:val="00240B80"/>
    <w:rsid w:val="00240C0E"/>
    <w:rsid w:val="00240C3F"/>
    <w:rsid w:val="00241011"/>
    <w:rsid w:val="002410C9"/>
    <w:rsid w:val="00241565"/>
    <w:rsid w:val="00241716"/>
    <w:rsid w:val="00241D6D"/>
    <w:rsid w:val="00241EA5"/>
    <w:rsid w:val="00241F08"/>
    <w:rsid w:val="002425FB"/>
    <w:rsid w:val="00242D24"/>
    <w:rsid w:val="00242FB0"/>
    <w:rsid w:val="00243067"/>
    <w:rsid w:val="00243609"/>
    <w:rsid w:val="00243979"/>
    <w:rsid w:val="00243BD8"/>
    <w:rsid w:val="00244028"/>
    <w:rsid w:val="002448EC"/>
    <w:rsid w:val="00244B49"/>
    <w:rsid w:val="00244BCF"/>
    <w:rsid w:val="00244C7A"/>
    <w:rsid w:val="00244E3A"/>
    <w:rsid w:val="00245072"/>
    <w:rsid w:val="002457FB"/>
    <w:rsid w:val="002461A0"/>
    <w:rsid w:val="00246EC4"/>
    <w:rsid w:val="00246EDB"/>
    <w:rsid w:val="0024709B"/>
    <w:rsid w:val="002506B2"/>
    <w:rsid w:val="00250D05"/>
    <w:rsid w:val="00251085"/>
    <w:rsid w:val="0025124F"/>
    <w:rsid w:val="00252C02"/>
    <w:rsid w:val="00252C8D"/>
    <w:rsid w:val="00252E65"/>
    <w:rsid w:val="00253383"/>
    <w:rsid w:val="002537E5"/>
    <w:rsid w:val="00253B73"/>
    <w:rsid w:val="00253C4D"/>
    <w:rsid w:val="00254816"/>
    <w:rsid w:val="002549D1"/>
    <w:rsid w:val="0025566F"/>
    <w:rsid w:val="00255A78"/>
    <w:rsid w:val="00255F01"/>
    <w:rsid w:val="00256080"/>
    <w:rsid w:val="0025684F"/>
    <w:rsid w:val="00256878"/>
    <w:rsid w:val="0025695F"/>
    <w:rsid w:val="00256BB2"/>
    <w:rsid w:val="0026029D"/>
    <w:rsid w:val="00260DE0"/>
    <w:rsid w:val="00261463"/>
    <w:rsid w:val="00261465"/>
    <w:rsid w:val="00262CC7"/>
    <w:rsid w:val="00262D87"/>
    <w:rsid w:val="0026414B"/>
    <w:rsid w:val="002643CD"/>
    <w:rsid w:val="00264B09"/>
    <w:rsid w:val="00264D5F"/>
    <w:rsid w:val="0026573A"/>
    <w:rsid w:val="0026604C"/>
    <w:rsid w:val="00266D04"/>
    <w:rsid w:val="002703BC"/>
    <w:rsid w:val="00270442"/>
    <w:rsid w:val="00270DF7"/>
    <w:rsid w:val="002714CE"/>
    <w:rsid w:val="002722C8"/>
    <w:rsid w:val="00272605"/>
    <w:rsid w:val="002726DA"/>
    <w:rsid w:val="00272ABD"/>
    <w:rsid w:val="00273085"/>
    <w:rsid w:val="00273214"/>
    <w:rsid w:val="00273253"/>
    <w:rsid w:val="002734B5"/>
    <w:rsid w:val="00273506"/>
    <w:rsid w:val="00273880"/>
    <w:rsid w:val="00273ADA"/>
    <w:rsid w:val="00273DF5"/>
    <w:rsid w:val="00273EE2"/>
    <w:rsid w:val="00274846"/>
    <w:rsid w:val="00274F62"/>
    <w:rsid w:val="00275224"/>
    <w:rsid w:val="00275382"/>
    <w:rsid w:val="00275535"/>
    <w:rsid w:val="00275CA5"/>
    <w:rsid w:val="0027663C"/>
    <w:rsid w:val="0027686E"/>
    <w:rsid w:val="00276A1E"/>
    <w:rsid w:val="00276AC4"/>
    <w:rsid w:val="00276C38"/>
    <w:rsid w:val="00276E1F"/>
    <w:rsid w:val="00276F80"/>
    <w:rsid w:val="00276FCE"/>
    <w:rsid w:val="00277042"/>
    <w:rsid w:val="00277447"/>
    <w:rsid w:val="0027766B"/>
    <w:rsid w:val="002776A5"/>
    <w:rsid w:val="00277FBA"/>
    <w:rsid w:val="00280D75"/>
    <w:rsid w:val="00280FB2"/>
    <w:rsid w:val="00280FF1"/>
    <w:rsid w:val="00281443"/>
    <w:rsid w:val="002826A6"/>
    <w:rsid w:val="0028285F"/>
    <w:rsid w:val="00282ACC"/>
    <w:rsid w:val="00283103"/>
    <w:rsid w:val="002833D3"/>
    <w:rsid w:val="00283B8A"/>
    <w:rsid w:val="00284146"/>
    <w:rsid w:val="002842F9"/>
    <w:rsid w:val="002848E9"/>
    <w:rsid w:val="00284C64"/>
    <w:rsid w:val="00286744"/>
    <w:rsid w:val="00287B1D"/>
    <w:rsid w:val="00287BED"/>
    <w:rsid w:val="00287D86"/>
    <w:rsid w:val="0029094D"/>
    <w:rsid w:val="00291193"/>
    <w:rsid w:val="00292033"/>
    <w:rsid w:val="00292212"/>
    <w:rsid w:val="0029243E"/>
    <w:rsid w:val="00292C8D"/>
    <w:rsid w:val="00292D4B"/>
    <w:rsid w:val="00293B1C"/>
    <w:rsid w:val="002943D5"/>
    <w:rsid w:val="00294620"/>
    <w:rsid w:val="002954BC"/>
    <w:rsid w:val="00295837"/>
    <w:rsid w:val="00295AAB"/>
    <w:rsid w:val="00295E7E"/>
    <w:rsid w:val="002962D1"/>
    <w:rsid w:val="00296C81"/>
    <w:rsid w:val="002A0170"/>
    <w:rsid w:val="002A0229"/>
    <w:rsid w:val="002A0533"/>
    <w:rsid w:val="002A0E10"/>
    <w:rsid w:val="002A0E5B"/>
    <w:rsid w:val="002A11F1"/>
    <w:rsid w:val="002A1206"/>
    <w:rsid w:val="002A127A"/>
    <w:rsid w:val="002A15F6"/>
    <w:rsid w:val="002A2CDE"/>
    <w:rsid w:val="002A2E52"/>
    <w:rsid w:val="002A3386"/>
    <w:rsid w:val="002A39AF"/>
    <w:rsid w:val="002A3E7F"/>
    <w:rsid w:val="002A4266"/>
    <w:rsid w:val="002A4285"/>
    <w:rsid w:val="002A441A"/>
    <w:rsid w:val="002A5FBB"/>
    <w:rsid w:val="002A6144"/>
    <w:rsid w:val="002A6FEF"/>
    <w:rsid w:val="002A7645"/>
    <w:rsid w:val="002A773A"/>
    <w:rsid w:val="002A7EA4"/>
    <w:rsid w:val="002B0668"/>
    <w:rsid w:val="002B138B"/>
    <w:rsid w:val="002B16CD"/>
    <w:rsid w:val="002B1743"/>
    <w:rsid w:val="002B1FCE"/>
    <w:rsid w:val="002B2035"/>
    <w:rsid w:val="002B24A8"/>
    <w:rsid w:val="002B30A8"/>
    <w:rsid w:val="002B30B0"/>
    <w:rsid w:val="002B3250"/>
    <w:rsid w:val="002B3BBD"/>
    <w:rsid w:val="002B3D19"/>
    <w:rsid w:val="002B3DDA"/>
    <w:rsid w:val="002B3F63"/>
    <w:rsid w:val="002B47A0"/>
    <w:rsid w:val="002B486B"/>
    <w:rsid w:val="002B4B90"/>
    <w:rsid w:val="002B50D4"/>
    <w:rsid w:val="002B52BD"/>
    <w:rsid w:val="002B54CC"/>
    <w:rsid w:val="002B560B"/>
    <w:rsid w:val="002B5BA5"/>
    <w:rsid w:val="002B5DE3"/>
    <w:rsid w:val="002B5E19"/>
    <w:rsid w:val="002B60BD"/>
    <w:rsid w:val="002B64EA"/>
    <w:rsid w:val="002B68F8"/>
    <w:rsid w:val="002B6995"/>
    <w:rsid w:val="002B72A8"/>
    <w:rsid w:val="002B7680"/>
    <w:rsid w:val="002B7936"/>
    <w:rsid w:val="002B7B16"/>
    <w:rsid w:val="002B7E2E"/>
    <w:rsid w:val="002C0033"/>
    <w:rsid w:val="002C00A2"/>
    <w:rsid w:val="002C03CC"/>
    <w:rsid w:val="002C06B5"/>
    <w:rsid w:val="002C074D"/>
    <w:rsid w:val="002C076A"/>
    <w:rsid w:val="002C07AC"/>
    <w:rsid w:val="002C0AB3"/>
    <w:rsid w:val="002C0C79"/>
    <w:rsid w:val="002C12F6"/>
    <w:rsid w:val="002C1303"/>
    <w:rsid w:val="002C139C"/>
    <w:rsid w:val="002C1413"/>
    <w:rsid w:val="002C1533"/>
    <w:rsid w:val="002C1B65"/>
    <w:rsid w:val="002C252B"/>
    <w:rsid w:val="002C2541"/>
    <w:rsid w:val="002C300F"/>
    <w:rsid w:val="002C381C"/>
    <w:rsid w:val="002C3B1D"/>
    <w:rsid w:val="002C3C4D"/>
    <w:rsid w:val="002C413D"/>
    <w:rsid w:val="002C48FF"/>
    <w:rsid w:val="002C491B"/>
    <w:rsid w:val="002C4C2B"/>
    <w:rsid w:val="002C4FC5"/>
    <w:rsid w:val="002C56C2"/>
    <w:rsid w:val="002C58A1"/>
    <w:rsid w:val="002C5ACD"/>
    <w:rsid w:val="002C6598"/>
    <w:rsid w:val="002C693E"/>
    <w:rsid w:val="002C6B7D"/>
    <w:rsid w:val="002C6D92"/>
    <w:rsid w:val="002C7D3D"/>
    <w:rsid w:val="002D00A5"/>
    <w:rsid w:val="002D0765"/>
    <w:rsid w:val="002D0C43"/>
    <w:rsid w:val="002D1082"/>
    <w:rsid w:val="002D1C3F"/>
    <w:rsid w:val="002D1F12"/>
    <w:rsid w:val="002D2133"/>
    <w:rsid w:val="002D234B"/>
    <w:rsid w:val="002D23AF"/>
    <w:rsid w:val="002D2412"/>
    <w:rsid w:val="002D2BDE"/>
    <w:rsid w:val="002D2E41"/>
    <w:rsid w:val="002D31E5"/>
    <w:rsid w:val="002D33AA"/>
    <w:rsid w:val="002D33DC"/>
    <w:rsid w:val="002D368A"/>
    <w:rsid w:val="002D5C18"/>
    <w:rsid w:val="002D60EF"/>
    <w:rsid w:val="002D61AF"/>
    <w:rsid w:val="002D6490"/>
    <w:rsid w:val="002D6846"/>
    <w:rsid w:val="002D7435"/>
    <w:rsid w:val="002E0231"/>
    <w:rsid w:val="002E05BB"/>
    <w:rsid w:val="002E0D19"/>
    <w:rsid w:val="002E0E47"/>
    <w:rsid w:val="002E1546"/>
    <w:rsid w:val="002E190F"/>
    <w:rsid w:val="002E2267"/>
    <w:rsid w:val="002E2276"/>
    <w:rsid w:val="002E22FB"/>
    <w:rsid w:val="002E2821"/>
    <w:rsid w:val="002E35D2"/>
    <w:rsid w:val="002E422C"/>
    <w:rsid w:val="002E4EC4"/>
    <w:rsid w:val="002E50A9"/>
    <w:rsid w:val="002E57CB"/>
    <w:rsid w:val="002E5878"/>
    <w:rsid w:val="002E5EA2"/>
    <w:rsid w:val="002E6037"/>
    <w:rsid w:val="002E6145"/>
    <w:rsid w:val="002E618A"/>
    <w:rsid w:val="002E66DA"/>
    <w:rsid w:val="002E6D0B"/>
    <w:rsid w:val="002E6E1F"/>
    <w:rsid w:val="002E70A8"/>
    <w:rsid w:val="002E7883"/>
    <w:rsid w:val="002E7B75"/>
    <w:rsid w:val="002E7D33"/>
    <w:rsid w:val="002F0042"/>
    <w:rsid w:val="002F057D"/>
    <w:rsid w:val="002F0AA4"/>
    <w:rsid w:val="002F0BA2"/>
    <w:rsid w:val="002F0FD4"/>
    <w:rsid w:val="002F16B7"/>
    <w:rsid w:val="002F27AC"/>
    <w:rsid w:val="002F2D86"/>
    <w:rsid w:val="002F2D98"/>
    <w:rsid w:val="002F33A5"/>
    <w:rsid w:val="002F358B"/>
    <w:rsid w:val="002F3EFE"/>
    <w:rsid w:val="002F3FA4"/>
    <w:rsid w:val="002F4B72"/>
    <w:rsid w:val="002F4DB4"/>
    <w:rsid w:val="002F52B2"/>
    <w:rsid w:val="002F5366"/>
    <w:rsid w:val="002F5B61"/>
    <w:rsid w:val="002F603F"/>
    <w:rsid w:val="002F6643"/>
    <w:rsid w:val="002F69FA"/>
    <w:rsid w:val="002F743F"/>
    <w:rsid w:val="002F7A51"/>
    <w:rsid w:val="002F7F40"/>
    <w:rsid w:val="00300488"/>
    <w:rsid w:val="003007B4"/>
    <w:rsid w:val="00301226"/>
    <w:rsid w:val="00301D59"/>
    <w:rsid w:val="00302459"/>
    <w:rsid w:val="00302B1F"/>
    <w:rsid w:val="00302D05"/>
    <w:rsid w:val="00302D72"/>
    <w:rsid w:val="003035EA"/>
    <w:rsid w:val="003037C2"/>
    <w:rsid w:val="00303D24"/>
    <w:rsid w:val="00304AAF"/>
    <w:rsid w:val="0030521A"/>
    <w:rsid w:val="0030540E"/>
    <w:rsid w:val="00305694"/>
    <w:rsid w:val="0030594A"/>
    <w:rsid w:val="003067FF"/>
    <w:rsid w:val="00306A5B"/>
    <w:rsid w:val="003075A0"/>
    <w:rsid w:val="00307625"/>
    <w:rsid w:val="00307EFC"/>
    <w:rsid w:val="00307F41"/>
    <w:rsid w:val="003100C3"/>
    <w:rsid w:val="00310151"/>
    <w:rsid w:val="00310465"/>
    <w:rsid w:val="003104BB"/>
    <w:rsid w:val="003114C4"/>
    <w:rsid w:val="003116F6"/>
    <w:rsid w:val="00311F44"/>
    <w:rsid w:val="0031216D"/>
    <w:rsid w:val="003127B1"/>
    <w:rsid w:val="00312981"/>
    <w:rsid w:val="003129EF"/>
    <w:rsid w:val="00312A2A"/>
    <w:rsid w:val="00313470"/>
    <w:rsid w:val="00313676"/>
    <w:rsid w:val="003136B3"/>
    <w:rsid w:val="00313AC1"/>
    <w:rsid w:val="00313E82"/>
    <w:rsid w:val="003144BE"/>
    <w:rsid w:val="0031498D"/>
    <w:rsid w:val="0031545A"/>
    <w:rsid w:val="00315BAE"/>
    <w:rsid w:val="00315F3C"/>
    <w:rsid w:val="003161EB"/>
    <w:rsid w:val="00316424"/>
    <w:rsid w:val="0031663E"/>
    <w:rsid w:val="0031729C"/>
    <w:rsid w:val="0031732F"/>
    <w:rsid w:val="00317473"/>
    <w:rsid w:val="003179C5"/>
    <w:rsid w:val="00317DEB"/>
    <w:rsid w:val="003201DD"/>
    <w:rsid w:val="0032034F"/>
    <w:rsid w:val="003206D4"/>
    <w:rsid w:val="00320760"/>
    <w:rsid w:val="00320D08"/>
    <w:rsid w:val="00320E1C"/>
    <w:rsid w:val="00320E39"/>
    <w:rsid w:val="00320FBA"/>
    <w:rsid w:val="00321D29"/>
    <w:rsid w:val="00322019"/>
    <w:rsid w:val="003222DE"/>
    <w:rsid w:val="0032259E"/>
    <w:rsid w:val="00322727"/>
    <w:rsid w:val="00323550"/>
    <w:rsid w:val="00323868"/>
    <w:rsid w:val="00323872"/>
    <w:rsid w:val="00323ABB"/>
    <w:rsid w:val="003247C5"/>
    <w:rsid w:val="003250E8"/>
    <w:rsid w:val="00325329"/>
    <w:rsid w:val="00325A88"/>
    <w:rsid w:val="00325AE8"/>
    <w:rsid w:val="0032724D"/>
    <w:rsid w:val="003274D9"/>
    <w:rsid w:val="003275FE"/>
    <w:rsid w:val="00327865"/>
    <w:rsid w:val="00327BDA"/>
    <w:rsid w:val="0033029A"/>
    <w:rsid w:val="00330793"/>
    <w:rsid w:val="003308FB"/>
    <w:rsid w:val="00330B2D"/>
    <w:rsid w:val="00331A8B"/>
    <w:rsid w:val="00331CE7"/>
    <w:rsid w:val="0033230D"/>
    <w:rsid w:val="00332629"/>
    <w:rsid w:val="00332D45"/>
    <w:rsid w:val="00332E29"/>
    <w:rsid w:val="00333A92"/>
    <w:rsid w:val="00333B1B"/>
    <w:rsid w:val="0033456A"/>
    <w:rsid w:val="00334CCE"/>
    <w:rsid w:val="00335141"/>
    <w:rsid w:val="0033534B"/>
    <w:rsid w:val="00335694"/>
    <w:rsid w:val="00335702"/>
    <w:rsid w:val="00335AB1"/>
    <w:rsid w:val="00336327"/>
    <w:rsid w:val="00337115"/>
    <w:rsid w:val="00337428"/>
    <w:rsid w:val="00337D9D"/>
    <w:rsid w:val="00340561"/>
    <w:rsid w:val="003406A1"/>
    <w:rsid w:val="00340D16"/>
    <w:rsid w:val="00341A02"/>
    <w:rsid w:val="0034225B"/>
    <w:rsid w:val="003422F5"/>
    <w:rsid w:val="0034238C"/>
    <w:rsid w:val="00342779"/>
    <w:rsid w:val="003427BA"/>
    <w:rsid w:val="00342842"/>
    <w:rsid w:val="00342F5F"/>
    <w:rsid w:val="0034308A"/>
    <w:rsid w:val="0034340A"/>
    <w:rsid w:val="0034355E"/>
    <w:rsid w:val="00343D38"/>
    <w:rsid w:val="003446C1"/>
    <w:rsid w:val="00344B06"/>
    <w:rsid w:val="00344B3C"/>
    <w:rsid w:val="00344FFF"/>
    <w:rsid w:val="003452E8"/>
    <w:rsid w:val="00345D5A"/>
    <w:rsid w:val="00346440"/>
    <w:rsid w:val="00346503"/>
    <w:rsid w:val="00346B16"/>
    <w:rsid w:val="00346E5C"/>
    <w:rsid w:val="003472DB"/>
    <w:rsid w:val="00350469"/>
    <w:rsid w:val="00350866"/>
    <w:rsid w:val="00350D15"/>
    <w:rsid w:val="00351B40"/>
    <w:rsid w:val="00351C66"/>
    <w:rsid w:val="00351EF1"/>
    <w:rsid w:val="00352910"/>
    <w:rsid w:val="00352991"/>
    <w:rsid w:val="00352DDF"/>
    <w:rsid w:val="00353386"/>
    <w:rsid w:val="00353D1A"/>
    <w:rsid w:val="00353F8B"/>
    <w:rsid w:val="00354081"/>
    <w:rsid w:val="003546F2"/>
    <w:rsid w:val="003552BB"/>
    <w:rsid w:val="0035546E"/>
    <w:rsid w:val="003559F0"/>
    <w:rsid w:val="003559F2"/>
    <w:rsid w:val="00355CC9"/>
    <w:rsid w:val="00356C05"/>
    <w:rsid w:val="00356E46"/>
    <w:rsid w:val="00357901"/>
    <w:rsid w:val="00357F1D"/>
    <w:rsid w:val="00360518"/>
    <w:rsid w:val="003612D3"/>
    <w:rsid w:val="0036180D"/>
    <w:rsid w:val="00362149"/>
    <w:rsid w:val="00362181"/>
    <w:rsid w:val="00362430"/>
    <w:rsid w:val="0036286E"/>
    <w:rsid w:val="00362C5C"/>
    <w:rsid w:val="003633FC"/>
    <w:rsid w:val="00363975"/>
    <w:rsid w:val="00363E43"/>
    <w:rsid w:val="00363FE2"/>
    <w:rsid w:val="003641CB"/>
    <w:rsid w:val="003642AA"/>
    <w:rsid w:val="003643F1"/>
    <w:rsid w:val="003658B4"/>
    <w:rsid w:val="00365A45"/>
    <w:rsid w:val="003666DE"/>
    <w:rsid w:val="00366B4C"/>
    <w:rsid w:val="003674A0"/>
    <w:rsid w:val="0037093A"/>
    <w:rsid w:val="00370B62"/>
    <w:rsid w:val="00371367"/>
    <w:rsid w:val="0037157A"/>
    <w:rsid w:val="00371887"/>
    <w:rsid w:val="00371C3B"/>
    <w:rsid w:val="00371ED8"/>
    <w:rsid w:val="003727A8"/>
    <w:rsid w:val="003738A2"/>
    <w:rsid w:val="003739D0"/>
    <w:rsid w:val="00373C17"/>
    <w:rsid w:val="003742C2"/>
    <w:rsid w:val="003744C2"/>
    <w:rsid w:val="00374A29"/>
    <w:rsid w:val="00374A8B"/>
    <w:rsid w:val="00375635"/>
    <w:rsid w:val="0037586C"/>
    <w:rsid w:val="00375D6E"/>
    <w:rsid w:val="00375DFF"/>
    <w:rsid w:val="003768B7"/>
    <w:rsid w:val="0037696E"/>
    <w:rsid w:val="00376DBC"/>
    <w:rsid w:val="0037743B"/>
    <w:rsid w:val="003776AA"/>
    <w:rsid w:val="00377715"/>
    <w:rsid w:val="003778DD"/>
    <w:rsid w:val="00377FCD"/>
    <w:rsid w:val="00380018"/>
    <w:rsid w:val="003806C8"/>
    <w:rsid w:val="00380A68"/>
    <w:rsid w:val="00380D9D"/>
    <w:rsid w:val="00380FBB"/>
    <w:rsid w:val="00381A28"/>
    <w:rsid w:val="00381A2A"/>
    <w:rsid w:val="00381A61"/>
    <w:rsid w:val="00381A7C"/>
    <w:rsid w:val="00381CBB"/>
    <w:rsid w:val="0038242D"/>
    <w:rsid w:val="003825AF"/>
    <w:rsid w:val="00383361"/>
    <w:rsid w:val="003833B8"/>
    <w:rsid w:val="003835C9"/>
    <w:rsid w:val="00383E62"/>
    <w:rsid w:val="00383EB8"/>
    <w:rsid w:val="003855C6"/>
    <w:rsid w:val="00385705"/>
    <w:rsid w:val="003861CA"/>
    <w:rsid w:val="0038626D"/>
    <w:rsid w:val="003862AC"/>
    <w:rsid w:val="00386BDB"/>
    <w:rsid w:val="003876C1"/>
    <w:rsid w:val="003878C2"/>
    <w:rsid w:val="00387C18"/>
    <w:rsid w:val="00387FC5"/>
    <w:rsid w:val="00390463"/>
    <w:rsid w:val="00390CEE"/>
    <w:rsid w:val="00391576"/>
    <w:rsid w:val="00391F34"/>
    <w:rsid w:val="00392253"/>
    <w:rsid w:val="0039228A"/>
    <w:rsid w:val="00392402"/>
    <w:rsid w:val="00392448"/>
    <w:rsid w:val="00392946"/>
    <w:rsid w:val="00392FDD"/>
    <w:rsid w:val="00394613"/>
    <w:rsid w:val="00395352"/>
    <w:rsid w:val="00395F8B"/>
    <w:rsid w:val="0039608B"/>
    <w:rsid w:val="00396D32"/>
    <w:rsid w:val="00396EE7"/>
    <w:rsid w:val="0039716A"/>
    <w:rsid w:val="003979EF"/>
    <w:rsid w:val="00397AD0"/>
    <w:rsid w:val="00397DC5"/>
    <w:rsid w:val="003A01F3"/>
    <w:rsid w:val="003A02B2"/>
    <w:rsid w:val="003A0AB5"/>
    <w:rsid w:val="003A0DEB"/>
    <w:rsid w:val="003A1DF7"/>
    <w:rsid w:val="003A1F8F"/>
    <w:rsid w:val="003A2DF4"/>
    <w:rsid w:val="003A2E31"/>
    <w:rsid w:val="003A33B5"/>
    <w:rsid w:val="003A3B4A"/>
    <w:rsid w:val="003A4402"/>
    <w:rsid w:val="003A4F5B"/>
    <w:rsid w:val="003A582E"/>
    <w:rsid w:val="003A5B97"/>
    <w:rsid w:val="003A5E48"/>
    <w:rsid w:val="003A62CE"/>
    <w:rsid w:val="003A69C0"/>
    <w:rsid w:val="003A6DF9"/>
    <w:rsid w:val="003A70E2"/>
    <w:rsid w:val="003A7132"/>
    <w:rsid w:val="003A71E6"/>
    <w:rsid w:val="003B0859"/>
    <w:rsid w:val="003B0994"/>
    <w:rsid w:val="003B0A46"/>
    <w:rsid w:val="003B0F27"/>
    <w:rsid w:val="003B13CC"/>
    <w:rsid w:val="003B1481"/>
    <w:rsid w:val="003B2880"/>
    <w:rsid w:val="003B2AB2"/>
    <w:rsid w:val="003B34D3"/>
    <w:rsid w:val="003B3A8D"/>
    <w:rsid w:val="003B3F73"/>
    <w:rsid w:val="003B45F4"/>
    <w:rsid w:val="003B5072"/>
    <w:rsid w:val="003B5119"/>
    <w:rsid w:val="003B5A8A"/>
    <w:rsid w:val="003B5AEE"/>
    <w:rsid w:val="003B5F78"/>
    <w:rsid w:val="003B61C6"/>
    <w:rsid w:val="003B6670"/>
    <w:rsid w:val="003B6829"/>
    <w:rsid w:val="003B6D43"/>
    <w:rsid w:val="003B773A"/>
    <w:rsid w:val="003B7A71"/>
    <w:rsid w:val="003B7BF4"/>
    <w:rsid w:val="003C0515"/>
    <w:rsid w:val="003C0A54"/>
    <w:rsid w:val="003C0B99"/>
    <w:rsid w:val="003C0CA5"/>
    <w:rsid w:val="003C101C"/>
    <w:rsid w:val="003C115E"/>
    <w:rsid w:val="003C119F"/>
    <w:rsid w:val="003C1323"/>
    <w:rsid w:val="003C168D"/>
    <w:rsid w:val="003C191E"/>
    <w:rsid w:val="003C20A0"/>
    <w:rsid w:val="003C20EA"/>
    <w:rsid w:val="003C2278"/>
    <w:rsid w:val="003C22A6"/>
    <w:rsid w:val="003C339E"/>
    <w:rsid w:val="003C387E"/>
    <w:rsid w:val="003C3985"/>
    <w:rsid w:val="003C3B21"/>
    <w:rsid w:val="003C3CDC"/>
    <w:rsid w:val="003C3FFD"/>
    <w:rsid w:val="003C4091"/>
    <w:rsid w:val="003C42C1"/>
    <w:rsid w:val="003C4A4E"/>
    <w:rsid w:val="003C4AD2"/>
    <w:rsid w:val="003C56C9"/>
    <w:rsid w:val="003C59F1"/>
    <w:rsid w:val="003C5FAD"/>
    <w:rsid w:val="003C6079"/>
    <w:rsid w:val="003C6247"/>
    <w:rsid w:val="003C6D4A"/>
    <w:rsid w:val="003C7233"/>
    <w:rsid w:val="003C78A8"/>
    <w:rsid w:val="003C7AA7"/>
    <w:rsid w:val="003C7C95"/>
    <w:rsid w:val="003D0313"/>
    <w:rsid w:val="003D06B1"/>
    <w:rsid w:val="003D0AA4"/>
    <w:rsid w:val="003D101E"/>
    <w:rsid w:val="003D1835"/>
    <w:rsid w:val="003D1977"/>
    <w:rsid w:val="003D1B0D"/>
    <w:rsid w:val="003D1BEB"/>
    <w:rsid w:val="003D200F"/>
    <w:rsid w:val="003D20A9"/>
    <w:rsid w:val="003D2388"/>
    <w:rsid w:val="003D2620"/>
    <w:rsid w:val="003D26FB"/>
    <w:rsid w:val="003D2718"/>
    <w:rsid w:val="003D2DF7"/>
    <w:rsid w:val="003D36AD"/>
    <w:rsid w:val="003D4D9F"/>
    <w:rsid w:val="003D56A0"/>
    <w:rsid w:val="003D5AF6"/>
    <w:rsid w:val="003D5CB1"/>
    <w:rsid w:val="003D5F45"/>
    <w:rsid w:val="003D5F96"/>
    <w:rsid w:val="003D6A74"/>
    <w:rsid w:val="003D7F58"/>
    <w:rsid w:val="003E0075"/>
    <w:rsid w:val="003E071F"/>
    <w:rsid w:val="003E0E5D"/>
    <w:rsid w:val="003E1EF8"/>
    <w:rsid w:val="003E2143"/>
    <w:rsid w:val="003E288E"/>
    <w:rsid w:val="003E2988"/>
    <w:rsid w:val="003E2F41"/>
    <w:rsid w:val="003E4339"/>
    <w:rsid w:val="003E44E2"/>
    <w:rsid w:val="003E4CE1"/>
    <w:rsid w:val="003E4EB0"/>
    <w:rsid w:val="003E53F9"/>
    <w:rsid w:val="003E581F"/>
    <w:rsid w:val="003E643D"/>
    <w:rsid w:val="003E65CA"/>
    <w:rsid w:val="003E6A8A"/>
    <w:rsid w:val="003E6E99"/>
    <w:rsid w:val="003E72B8"/>
    <w:rsid w:val="003E7A41"/>
    <w:rsid w:val="003F0052"/>
    <w:rsid w:val="003F0125"/>
    <w:rsid w:val="003F02BD"/>
    <w:rsid w:val="003F0679"/>
    <w:rsid w:val="003F11C6"/>
    <w:rsid w:val="003F1345"/>
    <w:rsid w:val="003F1350"/>
    <w:rsid w:val="003F153B"/>
    <w:rsid w:val="003F1892"/>
    <w:rsid w:val="003F1958"/>
    <w:rsid w:val="003F1E5F"/>
    <w:rsid w:val="003F2244"/>
    <w:rsid w:val="003F22F9"/>
    <w:rsid w:val="003F234F"/>
    <w:rsid w:val="003F2758"/>
    <w:rsid w:val="003F3084"/>
    <w:rsid w:val="003F3122"/>
    <w:rsid w:val="003F33C4"/>
    <w:rsid w:val="003F3545"/>
    <w:rsid w:val="003F3AE2"/>
    <w:rsid w:val="003F3C14"/>
    <w:rsid w:val="003F3F5F"/>
    <w:rsid w:val="003F5851"/>
    <w:rsid w:val="003F6800"/>
    <w:rsid w:val="003F6AC2"/>
    <w:rsid w:val="003F7FCC"/>
    <w:rsid w:val="00401688"/>
    <w:rsid w:val="004023B6"/>
    <w:rsid w:val="00402C8B"/>
    <w:rsid w:val="004035E3"/>
    <w:rsid w:val="004036F4"/>
    <w:rsid w:val="00403895"/>
    <w:rsid w:val="00403AD3"/>
    <w:rsid w:val="00403C22"/>
    <w:rsid w:val="004046FA"/>
    <w:rsid w:val="00405C42"/>
    <w:rsid w:val="00405E67"/>
    <w:rsid w:val="00406149"/>
    <w:rsid w:val="0040662F"/>
    <w:rsid w:val="004072BF"/>
    <w:rsid w:val="004072ED"/>
    <w:rsid w:val="0040766E"/>
    <w:rsid w:val="00407A19"/>
    <w:rsid w:val="00410017"/>
    <w:rsid w:val="004107EF"/>
    <w:rsid w:val="004109AB"/>
    <w:rsid w:val="00410C1C"/>
    <w:rsid w:val="00410F13"/>
    <w:rsid w:val="0041101E"/>
    <w:rsid w:val="0041150C"/>
    <w:rsid w:val="0041178F"/>
    <w:rsid w:val="0041209A"/>
    <w:rsid w:val="00412299"/>
    <w:rsid w:val="004124E6"/>
    <w:rsid w:val="004127DD"/>
    <w:rsid w:val="00412F60"/>
    <w:rsid w:val="00412F8C"/>
    <w:rsid w:val="00413661"/>
    <w:rsid w:val="00413771"/>
    <w:rsid w:val="00413C65"/>
    <w:rsid w:val="00413D7A"/>
    <w:rsid w:val="0041442A"/>
    <w:rsid w:val="00415132"/>
    <w:rsid w:val="004153AA"/>
    <w:rsid w:val="00415BF9"/>
    <w:rsid w:val="0041637B"/>
    <w:rsid w:val="00416638"/>
    <w:rsid w:val="004166CD"/>
    <w:rsid w:val="00416CA0"/>
    <w:rsid w:val="00420746"/>
    <w:rsid w:val="004209A6"/>
    <w:rsid w:val="00420AE5"/>
    <w:rsid w:val="00420D97"/>
    <w:rsid w:val="00421313"/>
    <w:rsid w:val="004224BB"/>
    <w:rsid w:val="0042264E"/>
    <w:rsid w:val="00422820"/>
    <w:rsid w:val="00423F30"/>
    <w:rsid w:val="0042449F"/>
    <w:rsid w:val="00424628"/>
    <w:rsid w:val="00424D09"/>
    <w:rsid w:val="0042523C"/>
    <w:rsid w:val="00425401"/>
    <w:rsid w:val="00425E7A"/>
    <w:rsid w:val="00425EA0"/>
    <w:rsid w:val="004264BC"/>
    <w:rsid w:val="00427774"/>
    <w:rsid w:val="00427876"/>
    <w:rsid w:val="0043003B"/>
    <w:rsid w:val="004302B3"/>
    <w:rsid w:val="00430381"/>
    <w:rsid w:val="00430512"/>
    <w:rsid w:val="004305BD"/>
    <w:rsid w:val="00430716"/>
    <w:rsid w:val="0043075F"/>
    <w:rsid w:val="004309F9"/>
    <w:rsid w:val="0043149A"/>
    <w:rsid w:val="0043159C"/>
    <w:rsid w:val="0043163F"/>
    <w:rsid w:val="0043184C"/>
    <w:rsid w:val="0043195D"/>
    <w:rsid w:val="00431D6A"/>
    <w:rsid w:val="0043213A"/>
    <w:rsid w:val="0043253A"/>
    <w:rsid w:val="004328D4"/>
    <w:rsid w:val="00432B45"/>
    <w:rsid w:val="00432BC4"/>
    <w:rsid w:val="00433007"/>
    <w:rsid w:val="0043345B"/>
    <w:rsid w:val="00433532"/>
    <w:rsid w:val="004337C2"/>
    <w:rsid w:val="00433DDD"/>
    <w:rsid w:val="00433E48"/>
    <w:rsid w:val="004341A9"/>
    <w:rsid w:val="004349D2"/>
    <w:rsid w:val="00434B47"/>
    <w:rsid w:val="00434C62"/>
    <w:rsid w:val="00434E74"/>
    <w:rsid w:val="004359F9"/>
    <w:rsid w:val="00436202"/>
    <w:rsid w:val="004367BE"/>
    <w:rsid w:val="00436819"/>
    <w:rsid w:val="00436BE4"/>
    <w:rsid w:val="0043717E"/>
    <w:rsid w:val="004372D5"/>
    <w:rsid w:val="004372F7"/>
    <w:rsid w:val="00437978"/>
    <w:rsid w:val="004379A3"/>
    <w:rsid w:val="00437BBA"/>
    <w:rsid w:val="00440131"/>
    <w:rsid w:val="0044049D"/>
    <w:rsid w:val="004405A5"/>
    <w:rsid w:val="00440AB6"/>
    <w:rsid w:val="0044123E"/>
    <w:rsid w:val="004414AF"/>
    <w:rsid w:val="00441B4F"/>
    <w:rsid w:val="00441B97"/>
    <w:rsid w:val="004422B3"/>
    <w:rsid w:val="00442622"/>
    <w:rsid w:val="0044290F"/>
    <w:rsid w:val="00442B94"/>
    <w:rsid w:val="00442FA6"/>
    <w:rsid w:val="00442FCA"/>
    <w:rsid w:val="0044377A"/>
    <w:rsid w:val="00443A97"/>
    <w:rsid w:val="00444218"/>
    <w:rsid w:val="00444360"/>
    <w:rsid w:val="004444CD"/>
    <w:rsid w:val="004444F5"/>
    <w:rsid w:val="00444C8B"/>
    <w:rsid w:val="00444CFF"/>
    <w:rsid w:val="004455E3"/>
    <w:rsid w:val="00445D54"/>
    <w:rsid w:val="00446034"/>
    <w:rsid w:val="00446941"/>
    <w:rsid w:val="00446DDC"/>
    <w:rsid w:val="00447655"/>
    <w:rsid w:val="0044796E"/>
    <w:rsid w:val="004502C7"/>
    <w:rsid w:val="00450CEE"/>
    <w:rsid w:val="00451981"/>
    <w:rsid w:val="00452C92"/>
    <w:rsid w:val="00453221"/>
    <w:rsid w:val="00453D9F"/>
    <w:rsid w:val="00453E50"/>
    <w:rsid w:val="00454322"/>
    <w:rsid w:val="0045507A"/>
    <w:rsid w:val="00455158"/>
    <w:rsid w:val="004553EE"/>
    <w:rsid w:val="004560F0"/>
    <w:rsid w:val="00456A52"/>
    <w:rsid w:val="00456EAD"/>
    <w:rsid w:val="00457082"/>
    <w:rsid w:val="00460EA5"/>
    <w:rsid w:val="0046115E"/>
    <w:rsid w:val="004611A5"/>
    <w:rsid w:val="004614F8"/>
    <w:rsid w:val="00461630"/>
    <w:rsid w:val="004619FE"/>
    <w:rsid w:val="00461F05"/>
    <w:rsid w:val="004621A5"/>
    <w:rsid w:val="00463810"/>
    <w:rsid w:val="00463D8F"/>
    <w:rsid w:val="00463D91"/>
    <w:rsid w:val="00464646"/>
    <w:rsid w:val="00464963"/>
    <w:rsid w:val="00464A00"/>
    <w:rsid w:val="00464EFD"/>
    <w:rsid w:val="004652E4"/>
    <w:rsid w:val="00465826"/>
    <w:rsid w:val="00465846"/>
    <w:rsid w:val="0046602F"/>
    <w:rsid w:val="00466E99"/>
    <w:rsid w:val="004676C0"/>
    <w:rsid w:val="00467D34"/>
    <w:rsid w:val="004707C2"/>
    <w:rsid w:val="004708E8"/>
    <w:rsid w:val="00470DF6"/>
    <w:rsid w:val="00471190"/>
    <w:rsid w:val="004711B2"/>
    <w:rsid w:val="004720A2"/>
    <w:rsid w:val="0047268B"/>
    <w:rsid w:val="0047322F"/>
    <w:rsid w:val="004733D0"/>
    <w:rsid w:val="00473568"/>
    <w:rsid w:val="00473824"/>
    <w:rsid w:val="00473A25"/>
    <w:rsid w:val="0047428D"/>
    <w:rsid w:val="004743D0"/>
    <w:rsid w:val="0047440B"/>
    <w:rsid w:val="004746A1"/>
    <w:rsid w:val="004746B2"/>
    <w:rsid w:val="00474EB7"/>
    <w:rsid w:val="0047519F"/>
    <w:rsid w:val="00475525"/>
    <w:rsid w:val="00475576"/>
    <w:rsid w:val="00475CFC"/>
    <w:rsid w:val="00475D2E"/>
    <w:rsid w:val="00475E56"/>
    <w:rsid w:val="00476E3E"/>
    <w:rsid w:val="00476FBF"/>
    <w:rsid w:val="004771D9"/>
    <w:rsid w:val="00477784"/>
    <w:rsid w:val="00477A82"/>
    <w:rsid w:val="00477AA7"/>
    <w:rsid w:val="00477D1D"/>
    <w:rsid w:val="004807F8"/>
    <w:rsid w:val="0048159C"/>
    <w:rsid w:val="004815CB"/>
    <w:rsid w:val="004816AB"/>
    <w:rsid w:val="00481D6C"/>
    <w:rsid w:val="004823A4"/>
    <w:rsid w:val="00482B68"/>
    <w:rsid w:val="00482D98"/>
    <w:rsid w:val="0048310C"/>
    <w:rsid w:val="00483397"/>
    <w:rsid w:val="004833D9"/>
    <w:rsid w:val="004837DF"/>
    <w:rsid w:val="00483840"/>
    <w:rsid w:val="004841B1"/>
    <w:rsid w:val="004843C2"/>
    <w:rsid w:val="004846F4"/>
    <w:rsid w:val="00484E32"/>
    <w:rsid w:val="00484F9C"/>
    <w:rsid w:val="00485740"/>
    <w:rsid w:val="00486377"/>
    <w:rsid w:val="00486961"/>
    <w:rsid w:val="0048698E"/>
    <w:rsid w:val="00486F2A"/>
    <w:rsid w:val="00487D1C"/>
    <w:rsid w:val="004900BA"/>
    <w:rsid w:val="00491375"/>
    <w:rsid w:val="004916A1"/>
    <w:rsid w:val="00491E14"/>
    <w:rsid w:val="00492B57"/>
    <w:rsid w:val="00492C88"/>
    <w:rsid w:val="004931D0"/>
    <w:rsid w:val="00493320"/>
    <w:rsid w:val="00493764"/>
    <w:rsid w:val="00493C68"/>
    <w:rsid w:val="00493EC5"/>
    <w:rsid w:val="0049406B"/>
    <w:rsid w:val="0049466C"/>
    <w:rsid w:val="00494967"/>
    <w:rsid w:val="004949B9"/>
    <w:rsid w:val="00495461"/>
    <w:rsid w:val="00495F76"/>
    <w:rsid w:val="004963EA"/>
    <w:rsid w:val="00496715"/>
    <w:rsid w:val="00496B9E"/>
    <w:rsid w:val="00496C59"/>
    <w:rsid w:val="00497B99"/>
    <w:rsid w:val="004A0632"/>
    <w:rsid w:val="004A078A"/>
    <w:rsid w:val="004A07DD"/>
    <w:rsid w:val="004A0A27"/>
    <w:rsid w:val="004A0A82"/>
    <w:rsid w:val="004A10BF"/>
    <w:rsid w:val="004A12FF"/>
    <w:rsid w:val="004A15A5"/>
    <w:rsid w:val="004A1AA5"/>
    <w:rsid w:val="004A1B71"/>
    <w:rsid w:val="004A1D93"/>
    <w:rsid w:val="004A23D1"/>
    <w:rsid w:val="004A2745"/>
    <w:rsid w:val="004A321B"/>
    <w:rsid w:val="004A3537"/>
    <w:rsid w:val="004A3735"/>
    <w:rsid w:val="004A3A03"/>
    <w:rsid w:val="004A4ABF"/>
    <w:rsid w:val="004A4AF0"/>
    <w:rsid w:val="004A4C16"/>
    <w:rsid w:val="004A4C7A"/>
    <w:rsid w:val="004A519B"/>
    <w:rsid w:val="004A536C"/>
    <w:rsid w:val="004A54D0"/>
    <w:rsid w:val="004A5694"/>
    <w:rsid w:val="004A578F"/>
    <w:rsid w:val="004A5900"/>
    <w:rsid w:val="004A5953"/>
    <w:rsid w:val="004A5B52"/>
    <w:rsid w:val="004A5EFD"/>
    <w:rsid w:val="004A61F7"/>
    <w:rsid w:val="004A686C"/>
    <w:rsid w:val="004A6DA7"/>
    <w:rsid w:val="004A714B"/>
    <w:rsid w:val="004A75E1"/>
    <w:rsid w:val="004A7D25"/>
    <w:rsid w:val="004B0B3C"/>
    <w:rsid w:val="004B0CDD"/>
    <w:rsid w:val="004B0E58"/>
    <w:rsid w:val="004B13A1"/>
    <w:rsid w:val="004B1F7F"/>
    <w:rsid w:val="004B2597"/>
    <w:rsid w:val="004B26F8"/>
    <w:rsid w:val="004B28F9"/>
    <w:rsid w:val="004B305F"/>
    <w:rsid w:val="004B3B85"/>
    <w:rsid w:val="004B417C"/>
    <w:rsid w:val="004B42D7"/>
    <w:rsid w:val="004B43DB"/>
    <w:rsid w:val="004B4607"/>
    <w:rsid w:val="004B46C5"/>
    <w:rsid w:val="004B46F8"/>
    <w:rsid w:val="004B47AA"/>
    <w:rsid w:val="004B54D5"/>
    <w:rsid w:val="004B56F9"/>
    <w:rsid w:val="004B5913"/>
    <w:rsid w:val="004B598E"/>
    <w:rsid w:val="004B5B12"/>
    <w:rsid w:val="004B621E"/>
    <w:rsid w:val="004B6B35"/>
    <w:rsid w:val="004B7FDE"/>
    <w:rsid w:val="004C0878"/>
    <w:rsid w:val="004C096A"/>
    <w:rsid w:val="004C117E"/>
    <w:rsid w:val="004C15B3"/>
    <w:rsid w:val="004C162A"/>
    <w:rsid w:val="004C1B37"/>
    <w:rsid w:val="004C1D72"/>
    <w:rsid w:val="004C26B8"/>
    <w:rsid w:val="004C2BD5"/>
    <w:rsid w:val="004C2D2B"/>
    <w:rsid w:val="004C3478"/>
    <w:rsid w:val="004C3D4F"/>
    <w:rsid w:val="004C416E"/>
    <w:rsid w:val="004C4789"/>
    <w:rsid w:val="004C4C5D"/>
    <w:rsid w:val="004C5667"/>
    <w:rsid w:val="004C5A84"/>
    <w:rsid w:val="004C5B70"/>
    <w:rsid w:val="004C5D71"/>
    <w:rsid w:val="004C5E42"/>
    <w:rsid w:val="004C665F"/>
    <w:rsid w:val="004C6751"/>
    <w:rsid w:val="004C6E9F"/>
    <w:rsid w:val="004C6F81"/>
    <w:rsid w:val="004C7295"/>
    <w:rsid w:val="004C7351"/>
    <w:rsid w:val="004C7C3A"/>
    <w:rsid w:val="004C7DD3"/>
    <w:rsid w:val="004C7DFA"/>
    <w:rsid w:val="004D08B7"/>
    <w:rsid w:val="004D0D32"/>
    <w:rsid w:val="004D1145"/>
    <w:rsid w:val="004D1CC3"/>
    <w:rsid w:val="004D2098"/>
    <w:rsid w:val="004D2295"/>
    <w:rsid w:val="004D24BC"/>
    <w:rsid w:val="004D2931"/>
    <w:rsid w:val="004D296A"/>
    <w:rsid w:val="004D3047"/>
    <w:rsid w:val="004D31CF"/>
    <w:rsid w:val="004D3772"/>
    <w:rsid w:val="004D3A9F"/>
    <w:rsid w:val="004D404B"/>
    <w:rsid w:val="004D40E5"/>
    <w:rsid w:val="004D4412"/>
    <w:rsid w:val="004D4A07"/>
    <w:rsid w:val="004D583F"/>
    <w:rsid w:val="004D5955"/>
    <w:rsid w:val="004D63A1"/>
    <w:rsid w:val="004D70CB"/>
    <w:rsid w:val="004D7387"/>
    <w:rsid w:val="004D74DC"/>
    <w:rsid w:val="004D7D77"/>
    <w:rsid w:val="004D7E30"/>
    <w:rsid w:val="004E0D18"/>
    <w:rsid w:val="004E0E91"/>
    <w:rsid w:val="004E149C"/>
    <w:rsid w:val="004E1F3B"/>
    <w:rsid w:val="004E2069"/>
    <w:rsid w:val="004E27DF"/>
    <w:rsid w:val="004E28E4"/>
    <w:rsid w:val="004E2D5D"/>
    <w:rsid w:val="004E381A"/>
    <w:rsid w:val="004E39FC"/>
    <w:rsid w:val="004E3EA3"/>
    <w:rsid w:val="004E44AB"/>
    <w:rsid w:val="004E54E7"/>
    <w:rsid w:val="004E569A"/>
    <w:rsid w:val="004E5A13"/>
    <w:rsid w:val="004E5EC4"/>
    <w:rsid w:val="004E6001"/>
    <w:rsid w:val="004E64D9"/>
    <w:rsid w:val="004E6E73"/>
    <w:rsid w:val="004E77FB"/>
    <w:rsid w:val="004E7832"/>
    <w:rsid w:val="004F016D"/>
    <w:rsid w:val="004F0954"/>
    <w:rsid w:val="004F1FBD"/>
    <w:rsid w:val="004F226B"/>
    <w:rsid w:val="004F2B45"/>
    <w:rsid w:val="004F2EC8"/>
    <w:rsid w:val="004F31B3"/>
    <w:rsid w:val="004F323C"/>
    <w:rsid w:val="004F3F55"/>
    <w:rsid w:val="004F4159"/>
    <w:rsid w:val="004F5238"/>
    <w:rsid w:val="004F621B"/>
    <w:rsid w:val="004F67F0"/>
    <w:rsid w:val="004F6B26"/>
    <w:rsid w:val="004F6ECF"/>
    <w:rsid w:val="004F7411"/>
    <w:rsid w:val="004F7736"/>
    <w:rsid w:val="004F7E79"/>
    <w:rsid w:val="005000C5"/>
    <w:rsid w:val="0050091C"/>
    <w:rsid w:val="00500B8F"/>
    <w:rsid w:val="00500D4C"/>
    <w:rsid w:val="0050118E"/>
    <w:rsid w:val="005011A4"/>
    <w:rsid w:val="005017A1"/>
    <w:rsid w:val="005017A7"/>
    <w:rsid w:val="0050184E"/>
    <w:rsid w:val="00501C7E"/>
    <w:rsid w:val="00502131"/>
    <w:rsid w:val="00502517"/>
    <w:rsid w:val="00502656"/>
    <w:rsid w:val="00502D0A"/>
    <w:rsid w:val="00503196"/>
    <w:rsid w:val="005034E8"/>
    <w:rsid w:val="005037F6"/>
    <w:rsid w:val="005038B0"/>
    <w:rsid w:val="00503ABE"/>
    <w:rsid w:val="00503B56"/>
    <w:rsid w:val="00503BF2"/>
    <w:rsid w:val="00504281"/>
    <w:rsid w:val="00504841"/>
    <w:rsid w:val="00505CA6"/>
    <w:rsid w:val="00505FF6"/>
    <w:rsid w:val="005062E7"/>
    <w:rsid w:val="00506C0F"/>
    <w:rsid w:val="0051154F"/>
    <w:rsid w:val="00511778"/>
    <w:rsid w:val="005118A5"/>
    <w:rsid w:val="00512091"/>
    <w:rsid w:val="00512277"/>
    <w:rsid w:val="0051265B"/>
    <w:rsid w:val="00512E7C"/>
    <w:rsid w:val="00512E8F"/>
    <w:rsid w:val="0051356A"/>
    <w:rsid w:val="00513B71"/>
    <w:rsid w:val="00513E1D"/>
    <w:rsid w:val="00513EFE"/>
    <w:rsid w:val="005147D1"/>
    <w:rsid w:val="00514EBC"/>
    <w:rsid w:val="00515AE7"/>
    <w:rsid w:val="00515B31"/>
    <w:rsid w:val="005160D0"/>
    <w:rsid w:val="0051644A"/>
    <w:rsid w:val="00516506"/>
    <w:rsid w:val="00516C3C"/>
    <w:rsid w:val="00517101"/>
    <w:rsid w:val="0052134D"/>
    <w:rsid w:val="00521438"/>
    <w:rsid w:val="0052174B"/>
    <w:rsid w:val="00521764"/>
    <w:rsid w:val="005217C8"/>
    <w:rsid w:val="0052199B"/>
    <w:rsid w:val="005220F0"/>
    <w:rsid w:val="005227AB"/>
    <w:rsid w:val="00522989"/>
    <w:rsid w:val="005230C8"/>
    <w:rsid w:val="005245B6"/>
    <w:rsid w:val="005247A8"/>
    <w:rsid w:val="00524848"/>
    <w:rsid w:val="00524AA7"/>
    <w:rsid w:val="005255CF"/>
    <w:rsid w:val="00525D4C"/>
    <w:rsid w:val="005261C5"/>
    <w:rsid w:val="00526D5D"/>
    <w:rsid w:val="00526ED2"/>
    <w:rsid w:val="005272C6"/>
    <w:rsid w:val="00527F3A"/>
    <w:rsid w:val="00527F4C"/>
    <w:rsid w:val="0053032F"/>
    <w:rsid w:val="0053102E"/>
    <w:rsid w:val="00531B04"/>
    <w:rsid w:val="00531D6B"/>
    <w:rsid w:val="00531DDA"/>
    <w:rsid w:val="0053230A"/>
    <w:rsid w:val="00532989"/>
    <w:rsid w:val="00532F55"/>
    <w:rsid w:val="005339C2"/>
    <w:rsid w:val="00533A98"/>
    <w:rsid w:val="00533F55"/>
    <w:rsid w:val="005348F9"/>
    <w:rsid w:val="00534A10"/>
    <w:rsid w:val="00534D1B"/>
    <w:rsid w:val="00534E76"/>
    <w:rsid w:val="00535AE9"/>
    <w:rsid w:val="00540056"/>
    <w:rsid w:val="005401F0"/>
    <w:rsid w:val="00540D74"/>
    <w:rsid w:val="0054117A"/>
    <w:rsid w:val="0054146C"/>
    <w:rsid w:val="0054169F"/>
    <w:rsid w:val="0054179A"/>
    <w:rsid w:val="00541A05"/>
    <w:rsid w:val="00541A4A"/>
    <w:rsid w:val="00541A6E"/>
    <w:rsid w:val="005420C0"/>
    <w:rsid w:val="005426BD"/>
    <w:rsid w:val="005440D3"/>
    <w:rsid w:val="0054433C"/>
    <w:rsid w:val="0054467D"/>
    <w:rsid w:val="00544702"/>
    <w:rsid w:val="00545039"/>
    <w:rsid w:val="005450CE"/>
    <w:rsid w:val="00545325"/>
    <w:rsid w:val="0054570A"/>
    <w:rsid w:val="005461D7"/>
    <w:rsid w:val="00546385"/>
    <w:rsid w:val="005465F0"/>
    <w:rsid w:val="00546C20"/>
    <w:rsid w:val="005474A3"/>
    <w:rsid w:val="00547A8E"/>
    <w:rsid w:val="00547B2F"/>
    <w:rsid w:val="005507DD"/>
    <w:rsid w:val="00550F63"/>
    <w:rsid w:val="005514CF"/>
    <w:rsid w:val="00551511"/>
    <w:rsid w:val="00551818"/>
    <w:rsid w:val="005518AE"/>
    <w:rsid w:val="00551B03"/>
    <w:rsid w:val="00552020"/>
    <w:rsid w:val="0055210C"/>
    <w:rsid w:val="005523E4"/>
    <w:rsid w:val="005528A4"/>
    <w:rsid w:val="0055448D"/>
    <w:rsid w:val="00554730"/>
    <w:rsid w:val="00554C0F"/>
    <w:rsid w:val="005555BA"/>
    <w:rsid w:val="00555F74"/>
    <w:rsid w:val="00556E5F"/>
    <w:rsid w:val="0055775A"/>
    <w:rsid w:val="00557EEA"/>
    <w:rsid w:val="00557F97"/>
    <w:rsid w:val="005601A9"/>
    <w:rsid w:val="0056020F"/>
    <w:rsid w:val="0056038B"/>
    <w:rsid w:val="005609BB"/>
    <w:rsid w:val="00560A84"/>
    <w:rsid w:val="00560ED3"/>
    <w:rsid w:val="00560FB7"/>
    <w:rsid w:val="00561910"/>
    <w:rsid w:val="00561964"/>
    <w:rsid w:val="00561A49"/>
    <w:rsid w:val="005621D2"/>
    <w:rsid w:val="0056224A"/>
    <w:rsid w:val="00562284"/>
    <w:rsid w:val="005628D8"/>
    <w:rsid w:val="00563142"/>
    <w:rsid w:val="00563350"/>
    <w:rsid w:val="005634AE"/>
    <w:rsid w:val="00564450"/>
    <w:rsid w:val="00565235"/>
    <w:rsid w:val="00565558"/>
    <w:rsid w:val="005657D8"/>
    <w:rsid w:val="00565F29"/>
    <w:rsid w:val="005661C5"/>
    <w:rsid w:val="00566849"/>
    <w:rsid w:val="00566A1A"/>
    <w:rsid w:val="00566E74"/>
    <w:rsid w:val="005675FB"/>
    <w:rsid w:val="0056787A"/>
    <w:rsid w:val="00567EEC"/>
    <w:rsid w:val="00567F01"/>
    <w:rsid w:val="00570012"/>
    <w:rsid w:val="00570D05"/>
    <w:rsid w:val="00571D4E"/>
    <w:rsid w:val="00572A3C"/>
    <w:rsid w:val="00572A81"/>
    <w:rsid w:val="00572F76"/>
    <w:rsid w:val="0057325C"/>
    <w:rsid w:val="00573379"/>
    <w:rsid w:val="00573C73"/>
    <w:rsid w:val="00573D19"/>
    <w:rsid w:val="00574EB5"/>
    <w:rsid w:val="005758A0"/>
    <w:rsid w:val="00575AB2"/>
    <w:rsid w:val="00576501"/>
    <w:rsid w:val="005765AE"/>
    <w:rsid w:val="0057696C"/>
    <w:rsid w:val="0057754C"/>
    <w:rsid w:val="00577CCA"/>
    <w:rsid w:val="00577DFC"/>
    <w:rsid w:val="00580060"/>
    <w:rsid w:val="0058090D"/>
    <w:rsid w:val="00580963"/>
    <w:rsid w:val="00581830"/>
    <w:rsid w:val="00581E95"/>
    <w:rsid w:val="0058226F"/>
    <w:rsid w:val="005823DA"/>
    <w:rsid w:val="0058257C"/>
    <w:rsid w:val="00582B30"/>
    <w:rsid w:val="00582C94"/>
    <w:rsid w:val="00582FF0"/>
    <w:rsid w:val="00583356"/>
    <w:rsid w:val="00583B9A"/>
    <w:rsid w:val="00583BBB"/>
    <w:rsid w:val="00583E8F"/>
    <w:rsid w:val="00585240"/>
    <w:rsid w:val="005855F8"/>
    <w:rsid w:val="00585615"/>
    <w:rsid w:val="005857D2"/>
    <w:rsid w:val="00585D11"/>
    <w:rsid w:val="005864B7"/>
    <w:rsid w:val="00586731"/>
    <w:rsid w:val="00586BDE"/>
    <w:rsid w:val="00587399"/>
    <w:rsid w:val="0059103C"/>
    <w:rsid w:val="0059132A"/>
    <w:rsid w:val="005917E9"/>
    <w:rsid w:val="005920E9"/>
    <w:rsid w:val="005926C4"/>
    <w:rsid w:val="005927A8"/>
    <w:rsid w:val="0059280A"/>
    <w:rsid w:val="00592930"/>
    <w:rsid w:val="00592A05"/>
    <w:rsid w:val="00592AF7"/>
    <w:rsid w:val="00592E1B"/>
    <w:rsid w:val="00592FCA"/>
    <w:rsid w:val="00593158"/>
    <w:rsid w:val="005936B6"/>
    <w:rsid w:val="005937AC"/>
    <w:rsid w:val="00593993"/>
    <w:rsid w:val="00593B33"/>
    <w:rsid w:val="00594547"/>
    <w:rsid w:val="00594721"/>
    <w:rsid w:val="00594E50"/>
    <w:rsid w:val="005952AA"/>
    <w:rsid w:val="00595B9C"/>
    <w:rsid w:val="00596371"/>
    <w:rsid w:val="0059637D"/>
    <w:rsid w:val="00596801"/>
    <w:rsid w:val="005969A2"/>
    <w:rsid w:val="00596B5E"/>
    <w:rsid w:val="00597099"/>
    <w:rsid w:val="005970AC"/>
    <w:rsid w:val="0059713C"/>
    <w:rsid w:val="00597437"/>
    <w:rsid w:val="0059769E"/>
    <w:rsid w:val="00597A8B"/>
    <w:rsid w:val="00597B3B"/>
    <w:rsid w:val="00597CE1"/>
    <w:rsid w:val="005A0233"/>
    <w:rsid w:val="005A023B"/>
    <w:rsid w:val="005A0337"/>
    <w:rsid w:val="005A05A5"/>
    <w:rsid w:val="005A0A26"/>
    <w:rsid w:val="005A1263"/>
    <w:rsid w:val="005A1369"/>
    <w:rsid w:val="005A1F1A"/>
    <w:rsid w:val="005A26BE"/>
    <w:rsid w:val="005A2947"/>
    <w:rsid w:val="005A331C"/>
    <w:rsid w:val="005A3429"/>
    <w:rsid w:val="005A393D"/>
    <w:rsid w:val="005A3CD1"/>
    <w:rsid w:val="005A3D06"/>
    <w:rsid w:val="005A43B4"/>
    <w:rsid w:val="005A43DF"/>
    <w:rsid w:val="005A51D0"/>
    <w:rsid w:val="005A5B00"/>
    <w:rsid w:val="005A5DDC"/>
    <w:rsid w:val="005A6620"/>
    <w:rsid w:val="005A6A6D"/>
    <w:rsid w:val="005A6DE9"/>
    <w:rsid w:val="005A6FC0"/>
    <w:rsid w:val="005A70C0"/>
    <w:rsid w:val="005A755D"/>
    <w:rsid w:val="005A7861"/>
    <w:rsid w:val="005A797A"/>
    <w:rsid w:val="005B052C"/>
    <w:rsid w:val="005B0A62"/>
    <w:rsid w:val="005B0EEF"/>
    <w:rsid w:val="005B1128"/>
    <w:rsid w:val="005B1603"/>
    <w:rsid w:val="005B2212"/>
    <w:rsid w:val="005B2297"/>
    <w:rsid w:val="005B22B3"/>
    <w:rsid w:val="005B238E"/>
    <w:rsid w:val="005B239D"/>
    <w:rsid w:val="005B2A83"/>
    <w:rsid w:val="005B30E0"/>
    <w:rsid w:val="005B3120"/>
    <w:rsid w:val="005B3ADB"/>
    <w:rsid w:val="005B4032"/>
    <w:rsid w:val="005B40BD"/>
    <w:rsid w:val="005B41E6"/>
    <w:rsid w:val="005B4931"/>
    <w:rsid w:val="005B5015"/>
    <w:rsid w:val="005B769C"/>
    <w:rsid w:val="005B778F"/>
    <w:rsid w:val="005B7C73"/>
    <w:rsid w:val="005B7D8F"/>
    <w:rsid w:val="005C08BF"/>
    <w:rsid w:val="005C0B2E"/>
    <w:rsid w:val="005C0C11"/>
    <w:rsid w:val="005C13C7"/>
    <w:rsid w:val="005C18B0"/>
    <w:rsid w:val="005C227E"/>
    <w:rsid w:val="005C2A14"/>
    <w:rsid w:val="005C3278"/>
    <w:rsid w:val="005C32D6"/>
    <w:rsid w:val="005C342C"/>
    <w:rsid w:val="005C3DB8"/>
    <w:rsid w:val="005C4783"/>
    <w:rsid w:val="005C4811"/>
    <w:rsid w:val="005C5353"/>
    <w:rsid w:val="005C553B"/>
    <w:rsid w:val="005C55D1"/>
    <w:rsid w:val="005C577F"/>
    <w:rsid w:val="005C5AFA"/>
    <w:rsid w:val="005C5F9E"/>
    <w:rsid w:val="005C64F0"/>
    <w:rsid w:val="005C6BBB"/>
    <w:rsid w:val="005C6C85"/>
    <w:rsid w:val="005C6FFD"/>
    <w:rsid w:val="005C72BD"/>
    <w:rsid w:val="005C78A3"/>
    <w:rsid w:val="005C7A69"/>
    <w:rsid w:val="005C7AC4"/>
    <w:rsid w:val="005D0607"/>
    <w:rsid w:val="005D0D0D"/>
    <w:rsid w:val="005D0DCA"/>
    <w:rsid w:val="005D1011"/>
    <w:rsid w:val="005D14C2"/>
    <w:rsid w:val="005D15F0"/>
    <w:rsid w:val="005D1AAC"/>
    <w:rsid w:val="005D1DB9"/>
    <w:rsid w:val="005D1FE9"/>
    <w:rsid w:val="005D2062"/>
    <w:rsid w:val="005D236D"/>
    <w:rsid w:val="005D25E2"/>
    <w:rsid w:val="005D274E"/>
    <w:rsid w:val="005D2AA5"/>
    <w:rsid w:val="005D2FDB"/>
    <w:rsid w:val="005D33D1"/>
    <w:rsid w:val="005D34B6"/>
    <w:rsid w:val="005D3B13"/>
    <w:rsid w:val="005D3D3A"/>
    <w:rsid w:val="005D3F72"/>
    <w:rsid w:val="005D4779"/>
    <w:rsid w:val="005D51C4"/>
    <w:rsid w:val="005D5527"/>
    <w:rsid w:val="005D55C6"/>
    <w:rsid w:val="005D5E72"/>
    <w:rsid w:val="005D6010"/>
    <w:rsid w:val="005D6581"/>
    <w:rsid w:val="005D6727"/>
    <w:rsid w:val="005D6768"/>
    <w:rsid w:val="005D6988"/>
    <w:rsid w:val="005D6AEB"/>
    <w:rsid w:val="005D6BD4"/>
    <w:rsid w:val="005D6C97"/>
    <w:rsid w:val="005D7239"/>
    <w:rsid w:val="005D7B8B"/>
    <w:rsid w:val="005D7DFB"/>
    <w:rsid w:val="005E0787"/>
    <w:rsid w:val="005E0F45"/>
    <w:rsid w:val="005E1632"/>
    <w:rsid w:val="005E1A71"/>
    <w:rsid w:val="005E2013"/>
    <w:rsid w:val="005E22CD"/>
    <w:rsid w:val="005E26CC"/>
    <w:rsid w:val="005E3322"/>
    <w:rsid w:val="005E374B"/>
    <w:rsid w:val="005E37DE"/>
    <w:rsid w:val="005E3EC4"/>
    <w:rsid w:val="005E4140"/>
    <w:rsid w:val="005E4159"/>
    <w:rsid w:val="005E44EB"/>
    <w:rsid w:val="005E4586"/>
    <w:rsid w:val="005E464F"/>
    <w:rsid w:val="005E55B5"/>
    <w:rsid w:val="005E59CC"/>
    <w:rsid w:val="005E5B42"/>
    <w:rsid w:val="005E5F9E"/>
    <w:rsid w:val="005E6BE1"/>
    <w:rsid w:val="005E701A"/>
    <w:rsid w:val="005E7058"/>
    <w:rsid w:val="005E760B"/>
    <w:rsid w:val="005F0B63"/>
    <w:rsid w:val="005F0C9E"/>
    <w:rsid w:val="005F1658"/>
    <w:rsid w:val="005F1CE1"/>
    <w:rsid w:val="005F26AB"/>
    <w:rsid w:val="005F40BE"/>
    <w:rsid w:val="005F4BC7"/>
    <w:rsid w:val="005F4EAC"/>
    <w:rsid w:val="005F53BB"/>
    <w:rsid w:val="005F5694"/>
    <w:rsid w:val="005F56AB"/>
    <w:rsid w:val="005F57D7"/>
    <w:rsid w:val="005F5E42"/>
    <w:rsid w:val="005F65F1"/>
    <w:rsid w:val="005F66C0"/>
    <w:rsid w:val="005F6936"/>
    <w:rsid w:val="005F6D56"/>
    <w:rsid w:val="005F73D4"/>
    <w:rsid w:val="005F7402"/>
    <w:rsid w:val="005F7688"/>
    <w:rsid w:val="005F7B24"/>
    <w:rsid w:val="00600FD0"/>
    <w:rsid w:val="00601667"/>
    <w:rsid w:val="0060171A"/>
    <w:rsid w:val="00601803"/>
    <w:rsid w:val="00601D91"/>
    <w:rsid w:val="00601F40"/>
    <w:rsid w:val="00602200"/>
    <w:rsid w:val="006029FF"/>
    <w:rsid w:val="00602CF1"/>
    <w:rsid w:val="00602CFF"/>
    <w:rsid w:val="00602E14"/>
    <w:rsid w:val="00603667"/>
    <w:rsid w:val="00603CD8"/>
    <w:rsid w:val="00605A2F"/>
    <w:rsid w:val="006064AE"/>
    <w:rsid w:val="0060673B"/>
    <w:rsid w:val="00607C06"/>
    <w:rsid w:val="00607C9C"/>
    <w:rsid w:val="00607E18"/>
    <w:rsid w:val="00610F2F"/>
    <w:rsid w:val="006127CE"/>
    <w:rsid w:val="006129CE"/>
    <w:rsid w:val="00613F22"/>
    <w:rsid w:val="00615178"/>
    <w:rsid w:val="00615813"/>
    <w:rsid w:val="00615DC0"/>
    <w:rsid w:val="0061670E"/>
    <w:rsid w:val="00616DD3"/>
    <w:rsid w:val="00617093"/>
    <w:rsid w:val="006170B0"/>
    <w:rsid w:val="00617336"/>
    <w:rsid w:val="0061767C"/>
    <w:rsid w:val="006179CC"/>
    <w:rsid w:val="00617F31"/>
    <w:rsid w:val="006200E2"/>
    <w:rsid w:val="00620307"/>
    <w:rsid w:val="00620B63"/>
    <w:rsid w:val="00620EFA"/>
    <w:rsid w:val="00620F26"/>
    <w:rsid w:val="006212CC"/>
    <w:rsid w:val="006212DE"/>
    <w:rsid w:val="00621ADF"/>
    <w:rsid w:val="00621DD1"/>
    <w:rsid w:val="0062214A"/>
    <w:rsid w:val="00622E4A"/>
    <w:rsid w:val="00623433"/>
    <w:rsid w:val="0062345D"/>
    <w:rsid w:val="006239BD"/>
    <w:rsid w:val="00623C8E"/>
    <w:rsid w:val="00625941"/>
    <w:rsid w:val="00625B20"/>
    <w:rsid w:val="00626237"/>
    <w:rsid w:val="00626276"/>
    <w:rsid w:val="00626681"/>
    <w:rsid w:val="006267A7"/>
    <w:rsid w:val="0062685C"/>
    <w:rsid w:val="0062696A"/>
    <w:rsid w:val="00626C5C"/>
    <w:rsid w:val="006270CB"/>
    <w:rsid w:val="00627189"/>
    <w:rsid w:val="00627617"/>
    <w:rsid w:val="006304DB"/>
    <w:rsid w:val="006304E3"/>
    <w:rsid w:val="006305AB"/>
    <w:rsid w:val="00631C05"/>
    <w:rsid w:val="00632501"/>
    <w:rsid w:val="00632E64"/>
    <w:rsid w:val="006333E0"/>
    <w:rsid w:val="006336AF"/>
    <w:rsid w:val="006348D5"/>
    <w:rsid w:val="006350C9"/>
    <w:rsid w:val="00636377"/>
    <w:rsid w:val="00636BFA"/>
    <w:rsid w:val="00636D07"/>
    <w:rsid w:val="00636F86"/>
    <w:rsid w:val="0063778D"/>
    <w:rsid w:val="00637C32"/>
    <w:rsid w:val="0064037B"/>
    <w:rsid w:val="006409B2"/>
    <w:rsid w:val="00640BE5"/>
    <w:rsid w:val="00641904"/>
    <w:rsid w:val="00641B3B"/>
    <w:rsid w:val="00642BED"/>
    <w:rsid w:val="00642CAD"/>
    <w:rsid w:val="00643507"/>
    <w:rsid w:val="00643A99"/>
    <w:rsid w:val="0064500C"/>
    <w:rsid w:val="00645CB2"/>
    <w:rsid w:val="006460D8"/>
    <w:rsid w:val="0064651A"/>
    <w:rsid w:val="00646F0E"/>
    <w:rsid w:val="00646FEE"/>
    <w:rsid w:val="00647144"/>
    <w:rsid w:val="006472B4"/>
    <w:rsid w:val="006473B1"/>
    <w:rsid w:val="006476E8"/>
    <w:rsid w:val="00647F2B"/>
    <w:rsid w:val="00650078"/>
    <w:rsid w:val="006504AA"/>
    <w:rsid w:val="00650B95"/>
    <w:rsid w:val="00651C9D"/>
    <w:rsid w:val="006520AF"/>
    <w:rsid w:val="006521FC"/>
    <w:rsid w:val="006526EB"/>
    <w:rsid w:val="006528CD"/>
    <w:rsid w:val="00652E80"/>
    <w:rsid w:val="00653038"/>
    <w:rsid w:val="0065310F"/>
    <w:rsid w:val="00653630"/>
    <w:rsid w:val="00653BC3"/>
    <w:rsid w:val="006540A2"/>
    <w:rsid w:val="006541F8"/>
    <w:rsid w:val="00654E72"/>
    <w:rsid w:val="006554A5"/>
    <w:rsid w:val="00656409"/>
    <w:rsid w:val="0065738E"/>
    <w:rsid w:val="00657B47"/>
    <w:rsid w:val="00657DDE"/>
    <w:rsid w:val="00660318"/>
    <w:rsid w:val="00660458"/>
    <w:rsid w:val="006605D9"/>
    <w:rsid w:val="00661E5E"/>
    <w:rsid w:val="006623BE"/>
    <w:rsid w:val="006623E6"/>
    <w:rsid w:val="0066288D"/>
    <w:rsid w:val="00662928"/>
    <w:rsid w:val="00662A4B"/>
    <w:rsid w:val="00662E66"/>
    <w:rsid w:val="00663750"/>
    <w:rsid w:val="00663BA0"/>
    <w:rsid w:val="006641A6"/>
    <w:rsid w:val="006641BA"/>
    <w:rsid w:val="0066467E"/>
    <w:rsid w:val="0066470C"/>
    <w:rsid w:val="00664943"/>
    <w:rsid w:val="00664A20"/>
    <w:rsid w:val="00664C0E"/>
    <w:rsid w:val="006652C9"/>
    <w:rsid w:val="0066569B"/>
    <w:rsid w:val="0066579D"/>
    <w:rsid w:val="006659A1"/>
    <w:rsid w:val="00665F18"/>
    <w:rsid w:val="00665FE5"/>
    <w:rsid w:val="00666336"/>
    <w:rsid w:val="00666677"/>
    <w:rsid w:val="006666A2"/>
    <w:rsid w:val="0066684B"/>
    <w:rsid w:val="0066713F"/>
    <w:rsid w:val="006673F8"/>
    <w:rsid w:val="00667C04"/>
    <w:rsid w:val="00667FBA"/>
    <w:rsid w:val="00670BAD"/>
    <w:rsid w:val="00670BF0"/>
    <w:rsid w:val="00672125"/>
    <w:rsid w:val="0067248B"/>
    <w:rsid w:val="0067263F"/>
    <w:rsid w:val="00672FE9"/>
    <w:rsid w:val="00673088"/>
    <w:rsid w:val="006730C1"/>
    <w:rsid w:val="00673135"/>
    <w:rsid w:val="00673A67"/>
    <w:rsid w:val="00674534"/>
    <w:rsid w:val="00674580"/>
    <w:rsid w:val="0067487A"/>
    <w:rsid w:val="00674C6D"/>
    <w:rsid w:val="006750B8"/>
    <w:rsid w:val="0067536B"/>
    <w:rsid w:val="00675A7F"/>
    <w:rsid w:val="00675B8E"/>
    <w:rsid w:val="00675FA8"/>
    <w:rsid w:val="00676BA6"/>
    <w:rsid w:val="00676C10"/>
    <w:rsid w:val="00676E33"/>
    <w:rsid w:val="00676FF9"/>
    <w:rsid w:val="006771E1"/>
    <w:rsid w:val="00677412"/>
    <w:rsid w:val="006776F4"/>
    <w:rsid w:val="0067794E"/>
    <w:rsid w:val="00677CE7"/>
    <w:rsid w:val="00680155"/>
    <w:rsid w:val="00680AEE"/>
    <w:rsid w:val="00680B23"/>
    <w:rsid w:val="00680BD1"/>
    <w:rsid w:val="00680FD7"/>
    <w:rsid w:val="0068146F"/>
    <w:rsid w:val="006816BA"/>
    <w:rsid w:val="00681B48"/>
    <w:rsid w:val="0068260B"/>
    <w:rsid w:val="00682F45"/>
    <w:rsid w:val="0068308C"/>
    <w:rsid w:val="00683215"/>
    <w:rsid w:val="006836D0"/>
    <w:rsid w:val="00683DBA"/>
    <w:rsid w:val="006842B1"/>
    <w:rsid w:val="006842C1"/>
    <w:rsid w:val="00684D4B"/>
    <w:rsid w:val="0068536B"/>
    <w:rsid w:val="0068549C"/>
    <w:rsid w:val="0068552F"/>
    <w:rsid w:val="00685C8D"/>
    <w:rsid w:val="006860B5"/>
    <w:rsid w:val="00686131"/>
    <w:rsid w:val="00686598"/>
    <w:rsid w:val="00686922"/>
    <w:rsid w:val="00686C5B"/>
    <w:rsid w:val="00686D2C"/>
    <w:rsid w:val="00686E54"/>
    <w:rsid w:val="00687098"/>
    <w:rsid w:val="0068783A"/>
    <w:rsid w:val="00687874"/>
    <w:rsid w:val="00690283"/>
    <w:rsid w:val="00690A2C"/>
    <w:rsid w:val="006915C0"/>
    <w:rsid w:val="006916D5"/>
    <w:rsid w:val="00691BA3"/>
    <w:rsid w:val="00691D40"/>
    <w:rsid w:val="006927A1"/>
    <w:rsid w:val="006927F3"/>
    <w:rsid w:val="00692905"/>
    <w:rsid w:val="00692D4A"/>
    <w:rsid w:val="00693140"/>
    <w:rsid w:val="00693152"/>
    <w:rsid w:val="00693938"/>
    <w:rsid w:val="00693CEA"/>
    <w:rsid w:val="00694983"/>
    <w:rsid w:val="0069515C"/>
    <w:rsid w:val="00695B73"/>
    <w:rsid w:val="00695BB1"/>
    <w:rsid w:val="006978D0"/>
    <w:rsid w:val="00697E68"/>
    <w:rsid w:val="006A003D"/>
    <w:rsid w:val="006A0558"/>
    <w:rsid w:val="006A090A"/>
    <w:rsid w:val="006A0CB1"/>
    <w:rsid w:val="006A0F26"/>
    <w:rsid w:val="006A100B"/>
    <w:rsid w:val="006A11D4"/>
    <w:rsid w:val="006A22F2"/>
    <w:rsid w:val="006A24B8"/>
    <w:rsid w:val="006A25F4"/>
    <w:rsid w:val="006A2BD5"/>
    <w:rsid w:val="006A2F4C"/>
    <w:rsid w:val="006A3AFB"/>
    <w:rsid w:val="006A3F95"/>
    <w:rsid w:val="006A4F6D"/>
    <w:rsid w:val="006A54F4"/>
    <w:rsid w:val="006A58D1"/>
    <w:rsid w:val="006A5902"/>
    <w:rsid w:val="006A5B94"/>
    <w:rsid w:val="006A6EF1"/>
    <w:rsid w:val="006A7A1C"/>
    <w:rsid w:val="006A7BFA"/>
    <w:rsid w:val="006B0028"/>
    <w:rsid w:val="006B0859"/>
    <w:rsid w:val="006B0A98"/>
    <w:rsid w:val="006B0D53"/>
    <w:rsid w:val="006B0F04"/>
    <w:rsid w:val="006B15FE"/>
    <w:rsid w:val="006B1EB7"/>
    <w:rsid w:val="006B228F"/>
    <w:rsid w:val="006B28EF"/>
    <w:rsid w:val="006B2976"/>
    <w:rsid w:val="006B2AA3"/>
    <w:rsid w:val="006B2AC5"/>
    <w:rsid w:val="006B336A"/>
    <w:rsid w:val="006B3379"/>
    <w:rsid w:val="006B42EE"/>
    <w:rsid w:val="006B4D1D"/>
    <w:rsid w:val="006B553C"/>
    <w:rsid w:val="006B5DAD"/>
    <w:rsid w:val="006B6766"/>
    <w:rsid w:val="006B7203"/>
    <w:rsid w:val="006B74B4"/>
    <w:rsid w:val="006C0A7A"/>
    <w:rsid w:val="006C115E"/>
    <w:rsid w:val="006C190D"/>
    <w:rsid w:val="006C1AE5"/>
    <w:rsid w:val="006C2021"/>
    <w:rsid w:val="006C244B"/>
    <w:rsid w:val="006C2B44"/>
    <w:rsid w:val="006C34EB"/>
    <w:rsid w:val="006C3868"/>
    <w:rsid w:val="006C3F45"/>
    <w:rsid w:val="006C4159"/>
    <w:rsid w:val="006C49C3"/>
    <w:rsid w:val="006C4A6A"/>
    <w:rsid w:val="006C5172"/>
    <w:rsid w:val="006C5D50"/>
    <w:rsid w:val="006C6BD7"/>
    <w:rsid w:val="006C6BED"/>
    <w:rsid w:val="006C7076"/>
    <w:rsid w:val="006C759D"/>
    <w:rsid w:val="006C76E5"/>
    <w:rsid w:val="006C7ABB"/>
    <w:rsid w:val="006C7BA7"/>
    <w:rsid w:val="006D02E3"/>
    <w:rsid w:val="006D05C0"/>
    <w:rsid w:val="006D08C3"/>
    <w:rsid w:val="006D0BA5"/>
    <w:rsid w:val="006D0D2E"/>
    <w:rsid w:val="006D1333"/>
    <w:rsid w:val="006D1381"/>
    <w:rsid w:val="006D1A73"/>
    <w:rsid w:val="006D2009"/>
    <w:rsid w:val="006D26FD"/>
    <w:rsid w:val="006D304A"/>
    <w:rsid w:val="006D362A"/>
    <w:rsid w:val="006D4436"/>
    <w:rsid w:val="006D4C8C"/>
    <w:rsid w:val="006D5083"/>
    <w:rsid w:val="006D5673"/>
    <w:rsid w:val="006D58E6"/>
    <w:rsid w:val="006D6243"/>
    <w:rsid w:val="006D6433"/>
    <w:rsid w:val="006D64A3"/>
    <w:rsid w:val="006D6570"/>
    <w:rsid w:val="006D6ED0"/>
    <w:rsid w:val="006D6FE8"/>
    <w:rsid w:val="006D72FA"/>
    <w:rsid w:val="006D7971"/>
    <w:rsid w:val="006E006C"/>
    <w:rsid w:val="006E0071"/>
    <w:rsid w:val="006E032E"/>
    <w:rsid w:val="006E07A7"/>
    <w:rsid w:val="006E0C84"/>
    <w:rsid w:val="006E0D35"/>
    <w:rsid w:val="006E1170"/>
    <w:rsid w:val="006E1319"/>
    <w:rsid w:val="006E14A7"/>
    <w:rsid w:val="006E1CE2"/>
    <w:rsid w:val="006E1CE7"/>
    <w:rsid w:val="006E217B"/>
    <w:rsid w:val="006E21D9"/>
    <w:rsid w:val="006E2D2E"/>
    <w:rsid w:val="006E2F57"/>
    <w:rsid w:val="006E381D"/>
    <w:rsid w:val="006E43FD"/>
    <w:rsid w:val="006E46CB"/>
    <w:rsid w:val="006E4829"/>
    <w:rsid w:val="006E4A03"/>
    <w:rsid w:val="006E4E56"/>
    <w:rsid w:val="006E5646"/>
    <w:rsid w:val="006E583D"/>
    <w:rsid w:val="006E5ACF"/>
    <w:rsid w:val="006E6045"/>
    <w:rsid w:val="006E628F"/>
    <w:rsid w:val="006E7CB5"/>
    <w:rsid w:val="006E7D20"/>
    <w:rsid w:val="006F04E1"/>
    <w:rsid w:val="006F0A5E"/>
    <w:rsid w:val="006F0FD8"/>
    <w:rsid w:val="006F13C5"/>
    <w:rsid w:val="006F175E"/>
    <w:rsid w:val="006F18AF"/>
    <w:rsid w:val="006F1AA2"/>
    <w:rsid w:val="006F1DF1"/>
    <w:rsid w:val="006F24C9"/>
    <w:rsid w:val="006F2E70"/>
    <w:rsid w:val="006F39E6"/>
    <w:rsid w:val="006F3A46"/>
    <w:rsid w:val="006F3EC3"/>
    <w:rsid w:val="006F448D"/>
    <w:rsid w:val="006F449D"/>
    <w:rsid w:val="006F55A7"/>
    <w:rsid w:val="006F5E7D"/>
    <w:rsid w:val="006F5F2B"/>
    <w:rsid w:val="006F6CFE"/>
    <w:rsid w:val="006F6F30"/>
    <w:rsid w:val="006F71F3"/>
    <w:rsid w:val="006F7367"/>
    <w:rsid w:val="006F7597"/>
    <w:rsid w:val="006F780B"/>
    <w:rsid w:val="007001DF"/>
    <w:rsid w:val="0070102A"/>
    <w:rsid w:val="0070138A"/>
    <w:rsid w:val="00701AD6"/>
    <w:rsid w:val="00701C12"/>
    <w:rsid w:val="00702227"/>
    <w:rsid w:val="00702568"/>
    <w:rsid w:val="00702B74"/>
    <w:rsid w:val="00702C81"/>
    <w:rsid w:val="00702F3C"/>
    <w:rsid w:val="007035DA"/>
    <w:rsid w:val="007037D4"/>
    <w:rsid w:val="007042DD"/>
    <w:rsid w:val="007052F8"/>
    <w:rsid w:val="00705529"/>
    <w:rsid w:val="0070568D"/>
    <w:rsid w:val="0070587D"/>
    <w:rsid w:val="007062E2"/>
    <w:rsid w:val="007100C2"/>
    <w:rsid w:val="007103A8"/>
    <w:rsid w:val="00710F7E"/>
    <w:rsid w:val="0071118F"/>
    <w:rsid w:val="007112E8"/>
    <w:rsid w:val="0071149C"/>
    <w:rsid w:val="007118CF"/>
    <w:rsid w:val="00711F0F"/>
    <w:rsid w:val="00712B67"/>
    <w:rsid w:val="0071332F"/>
    <w:rsid w:val="00713DFF"/>
    <w:rsid w:val="00713FF5"/>
    <w:rsid w:val="0071402B"/>
    <w:rsid w:val="00714101"/>
    <w:rsid w:val="00714140"/>
    <w:rsid w:val="007145FB"/>
    <w:rsid w:val="00715322"/>
    <w:rsid w:val="00716E57"/>
    <w:rsid w:val="007175A2"/>
    <w:rsid w:val="00717E86"/>
    <w:rsid w:val="00717ED5"/>
    <w:rsid w:val="007204FC"/>
    <w:rsid w:val="00720748"/>
    <w:rsid w:val="00720D0B"/>
    <w:rsid w:val="00720EF5"/>
    <w:rsid w:val="00721351"/>
    <w:rsid w:val="0072166B"/>
    <w:rsid w:val="00721753"/>
    <w:rsid w:val="00721EA2"/>
    <w:rsid w:val="007220AE"/>
    <w:rsid w:val="00722313"/>
    <w:rsid w:val="00722792"/>
    <w:rsid w:val="00722A7B"/>
    <w:rsid w:val="0072363D"/>
    <w:rsid w:val="00723883"/>
    <w:rsid w:val="00723ADD"/>
    <w:rsid w:val="00724B18"/>
    <w:rsid w:val="00724DF9"/>
    <w:rsid w:val="00724E4A"/>
    <w:rsid w:val="00725BA8"/>
    <w:rsid w:val="007271C9"/>
    <w:rsid w:val="00727855"/>
    <w:rsid w:val="007300D6"/>
    <w:rsid w:val="0073076F"/>
    <w:rsid w:val="00730E1B"/>
    <w:rsid w:val="0073143F"/>
    <w:rsid w:val="00731D19"/>
    <w:rsid w:val="00731EAD"/>
    <w:rsid w:val="0073234D"/>
    <w:rsid w:val="00732597"/>
    <w:rsid w:val="007327B7"/>
    <w:rsid w:val="007334B6"/>
    <w:rsid w:val="00733677"/>
    <w:rsid w:val="007338CD"/>
    <w:rsid w:val="00733A4E"/>
    <w:rsid w:val="00733E64"/>
    <w:rsid w:val="00733F7E"/>
    <w:rsid w:val="007340A5"/>
    <w:rsid w:val="007346AF"/>
    <w:rsid w:val="00734788"/>
    <w:rsid w:val="007348D6"/>
    <w:rsid w:val="00734C97"/>
    <w:rsid w:val="0073537A"/>
    <w:rsid w:val="00735520"/>
    <w:rsid w:val="00735AA6"/>
    <w:rsid w:val="007363DA"/>
    <w:rsid w:val="0073673E"/>
    <w:rsid w:val="00736799"/>
    <w:rsid w:val="00736C76"/>
    <w:rsid w:val="0073737A"/>
    <w:rsid w:val="00737A7C"/>
    <w:rsid w:val="00737AD6"/>
    <w:rsid w:val="007401DC"/>
    <w:rsid w:val="007402CD"/>
    <w:rsid w:val="007409B4"/>
    <w:rsid w:val="00740CA8"/>
    <w:rsid w:val="00740D08"/>
    <w:rsid w:val="00740EB8"/>
    <w:rsid w:val="007410C2"/>
    <w:rsid w:val="007410D9"/>
    <w:rsid w:val="00741126"/>
    <w:rsid w:val="007413F5"/>
    <w:rsid w:val="00741425"/>
    <w:rsid w:val="007414EE"/>
    <w:rsid w:val="007416E6"/>
    <w:rsid w:val="00742731"/>
    <w:rsid w:val="00742B14"/>
    <w:rsid w:val="00743287"/>
    <w:rsid w:val="0074348E"/>
    <w:rsid w:val="00743A6C"/>
    <w:rsid w:val="00743E39"/>
    <w:rsid w:val="007446BF"/>
    <w:rsid w:val="00744CD7"/>
    <w:rsid w:val="0074561E"/>
    <w:rsid w:val="00745798"/>
    <w:rsid w:val="00745E15"/>
    <w:rsid w:val="00746015"/>
    <w:rsid w:val="007460D7"/>
    <w:rsid w:val="00746479"/>
    <w:rsid w:val="0074648F"/>
    <w:rsid w:val="00746AF4"/>
    <w:rsid w:val="00747549"/>
    <w:rsid w:val="007476EE"/>
    <w:rsid w:val="00750638"/>
    <w:rsid w:val="00750FD5"/>
    <w:rsid w:val="0075186F"/>
    <w:rsid w:val="00751DDA"/>
    <w:rsid w:val="0075248C"/>
    <w:rsid w:val="00752C56"/>
    <w:rsid w:val="007531A1"/>
    <w:rsid w:val="00753444"/>
    <w:rsid w:val="00753452"/>
    <w:rsid w:val="0075356F"/>
    <w:rsid w:val="007539E4"/>
    <w:rsid w:val="00753A37"/>
    <w:rsid w:val="007544B6"/>
    <w:rsid w:val="0075465C"/>
    <w:rsid w:val="00754DF9"/>
    <w:rsid w:val="00754E74"/>
    <w:rsid w:val="00754E8A"/>
    <w:rsid w:val="00754EAF"/>
    <w:rsid w:val="00754F61"/>
    <w:rsid w:val="0075541D"/>
    <w:rsid w:val="00756C21"/>
    <w:rsid w:val="0075701C"/>
    <w:rsid w:val="0075718C"/>
    <w:rsid w:val="00757C28"/>
    <w:rsid w:val="007602DF"/>
    <w:rsid w:val="007606E3"/>
    <w:rsid w:val="00760DED"/>
    <w:rsid w:val="0076123B"/>
    <w:rsid w:val="00761281"/>
    <w:rsid w:val="00761683"/>
    <w:rsid w:val="00761D67"/>
    <w:rsid w:val="007623C8"/>
    <w:rsid w:val="00762753"/>
    <w:rsid w:val="0076328C"/>
    <w:rsid w:val="00763D17"/>
    <w:rsid w:val="007643F1"/>
    <w:rsid w:val="00764A2F"/>
    <w:rsid w:val="007650B5"/>
    <w:rsid w:val="00765F61"/>
    <w:rsid w:val="007664D7"/>
    <w:rsid w:val="00766EAB"/>
    <w:rsid w:val="00767563"/>
    <w:rsid w:val="00767DF5"/>
    <w:rsid w:val="00770BBE"/>
    <w:rsid w:val="007711D1"/>
    <w:rsid w:val="00771DBF"/>
    <w:rsid w:val="00772427"/>
    <w:rsid w:val="007724CD"/>
    <w:rsid w:val="00772CD5"/>
    <w:rsid w:val="00773449"/>
    <w:rsid w:val="00773C79"/>
    <w:rsid w:val="00773EB3"/>
    <w:rsid w:val="00774C63"/>
    <w:rsid w:val="00774E41"/>
    <w:rsid w:val="00774F0A"/>
    <w:rsid w:val="00775C2D"/>
    <w:rsid w:val="00775FB1"/>
    <w:rsid w:val="00776183"/>
    <w:rsid w:val="007763D3"/>
    <w:rsid w:val="00776441"/>
    <w:rsid w:val="00776499"/>
    <w:rsid w:val="007764AA"/>
    <w:rsid w:val="007764C4"/>
    <w:rsid w:val="00776658"/>
    <w:rsid w:val="00776EE7"/>
    <w:rsid w:val="007773C1"/>
    <w:rsid w:val="00777CE2"/>
    <w:rsid w:val="00777E37"/>
    <w:rsid w:val="0078042E"/>
    <w:rsid w:val="00780978"/>
    <w:rsid w:val="00780A7D"/>
    <w:rsid w:val="00780D0A"/>
    <w:rsid w:val="007810ED"/>
    <w:rsid w:val="0078136F"/>
    <w:rsid w:val="007815C8"/>
    <w:rsid w:val="00781AD1"/>
    <w:rsid w:val="00781B08"/>
    <w:rsid w:val="007821BF"/>
    <w:rsid w:val="007823C3"/>
    <w:rsid w:val="00782789"/>
    <w:rsid w:val="00783033"/>
    <w:rsid w:val="0078310C"/>
    <w:rsid w:val="00783E51"/>
    <w:rsid w:val="0078400F"/>
    <w:rsid w:val="007845A9"/>
    <w:rsid w:val="00784985"/>
    <w:rsid w:val="00784994"/>
    <w:rsid w:val="007849D0"/>
    <w:rsid w:val="00784C4D"/>
    <w:rsid w:val="00784C52"/>
    <w:rsid w:val="007852F9"/>
    <w:rsid w:val="00785588"/>
    <w:rsid w:val="00785C1C"/>
    <w:rsid w:val="00785D0A"/>
    <w:rsid w:val="00785DE5"/>
    <w:rsid w:val="00786299"/>
    <w:rsid w:val="00786451"/>
    <w:rsid w:val="00786514"/>
    <w:rsid w:val="007867FE"/>
    <w:rsid w:val="00786861"/>
    <w:rsid w:val="00786D13"/>
    <w:rsid w:val="00787000"/>
    <w:rsid w:val="00787911"/>
    <w:rsid w:val="00787AAD"/>
    <w:rsid w:val="007901D3"/>
    <w:rsid w:val="007903DA"/>
    <w:rsid w:val="00790639"/>
    <w:rsid w:val="007913D8"/>
    <w:rsid w:val="007915BD"/>
    <w:rsid w:val="00791997"/>
    <w:rsid w:val="00791A7D"/>
    <w:rsid w:val="00792097"/>
    <w:rsid w:val="007920EB"/>
    <w:rsid w:val="00792342"/>
    <w:rsid w:val="007925DB"/>
    <w:rsid w:val="00792BE2"/>
    <w:rsid w:val="00793803"/>
    <w:rsid w:val="00794435"/>
    <w:rsid w:val="0079499C"/>
    <w:rsid w:val="007949D4"/>
    <w:rsid w:val="00794E0C"/>
    <w:rsid w:val="0079564E"/>
    <w:rsid w:val="007958CA"/>
    <w:rsid w:val="00795E23"/>
    <w:rsid w:val="00795F7C"/>
    <w:rsid w:val="00796125"/>
    <w:rsid w:val="00796C67"/>
    <w:rsid w:val="00797D24"/>
    <w:rsid w:val="00797F2F"/>
    <w:rsid w:val="007A0C78"/>
    <w:rsid w:val="007A1A89"/>
    <w:rsid w:val="007A1C20"/>
    <w:rsid w:val="007A2115"/>
    <w:rsid w:val="007A2A86"/>
    <w:rsid w:val="007A2BEB"/>
    <w:rsid w:val="007A2EC1"/>
    <w:rsid w:val="007A2F1D"/>
    <w:rsid w:val="007A3942"/>
    <w:rsid w:val="007A3C1C"/>
    <w:rsid w:val="007A3DE1"/>
    <w:rsid w:val="007A42B8"/>
    <w:rsid w:val="007A45FC"/>
    <w:rsid w:val="007A5703"/>
    <w:rsid w:val="007A5A7D"/>
    <w:rsid w:val="007A6543"/>
    <w:rsid w:val="007A6F8E"/>
    <w:rsid w:val="007A73FF"/>
    <w:rsid w:val="007A7650"/>
    <w:rsid w:val="007A7DE6"/>
    <w:rsid w:val="007B00E1"/>
    <w:rsid w:val="007B00E2"/>
    <w:rsid w:val="007B01F8"/>
    <w:rsid w:val="007B0576"/>
    <w:rsid w:val="007B0621"/>
    <w:rsid w:val="007B071E"/>
    <w:rsid w:val="007B0DDA"/>
    <w:rsid w:val="007B128B"/>
    <w:rsid w:val="007B1644"/>
    <w:rsid w:val="007B1E85"/>
    <w:rsid w:val="007B3B9B"/>
    <w:rsid w:val="007B4DAF"/>
    <w:rsid w:val="007B513A"/>
    <w:rsid w:val="007B57D1"/>
    <w:rsid w:val="007B5A16"/>
    <w:rsid w:val="007B6054"/>
    <w:rsid w:val="007B632A"/>
    <w:rsid w:val="007B64F9"/>
    <w:rsid w:val="007B6806"/>
    <w:rsid w:val="007B69C0"/>
    <w:rsid w:val="007B70F6"/>
    <w:rsid w:val="007B72AC"/>
    <w:rsid w:val="007B769F"/>
    <w:rsid w:val="007C0B25"/>
    <w:rsid w:val="007C0C12"/>
    <w:rsid w:val="007C14E6"/>
    <w:rsid w:val="007C15B9"/>
    <w:rsid w:val="007C17F1"/>
    <w:rsid w:val="007C1C4D"/>
    <w:rsid w:val="007C2059"/>
    <w:rsid w:val="007C20E6"/>
    <w:rsid w:val="007C2432"/>
    <w:rsid w:val="007C2C74"/>
    <w:rsid w:val="007C30A8"/>
    <w:rsid w:val="007C336D"/>
    <w:rsid w:val="007C3E24"/>
    <w:rsid w:val="007C3E33"/>
    <w:rsid w:val="007C4593"/>
    <w:rsid w:val="007C45C7"/>
    <w:rsid w:val="007C474D"/>
    <w:rsid w:val="007C4836"/>
    <w:rsid w:val="007C4D48"/>
    <w:rsid w:val="007C4F1B"/>
    <w:rsid w:val="007C5A0A"/>
    <w:rsid w:val="007C5B07"/>
    <w:rsid w:val="007C5C31"/>
    <w:rsid w:val="007C5C79"/>
    <w:rsid w:val="007C6561"/>
    <w:rsid w:val="007C6B67"/>
    <w:rsid w:val="007C6DFB"/>
    <w:rsid w:val="007D156F"/>
    <w:rsid w:val="007D19A5"/>
    <w:rsid w:val="007D2317"/>
    <w:rsid w:val="007D2355"/>
    <w:rsid w:val="007D24D0"/>
    <w:rsid w:val="007D2A8E"/>
    <w:rsid w:val="007D36CE"/>
    <w:rsid w:val="007D39A2"/>
    <w:rsid w:val="007D41A8"/>
    <w:rsid w:val="007D42BC"/>
    <w:rsid w:val="007D48BA"/>
    <w:rsid w:val="007D4F42"/>
    <w:rsid w:val="007D50DB"/>
    <w:rsid w:val="007D5BEC"/>
    <w:rsid w:val="007D5E41"/>
    <w:rsid w:val="007D5E52"/>
    <w:rsid w:val="007D61A5"/>
    <w:rsid w:val="007D640F"/>
    <w:rsid w:val="007D6C98"/>
    <w:rsid w:val="007D797A"/>
    <w:rsid w:val="007D7B05"/>
    <w:rsid w:val="007D7CB3"/>
    <w:rsid w:val="007E03DC"/>
    <w:rsid w:val="007E05B5"/>
    <w:rsid w:val="007E0D6E"/>
    <w:rsid w:val="007E0F29"/>
    <w:rsid w:val="007E26A6"/>
    <w:rsid w:val="007E292F"/>
    <w:rsid w:val="007E3671"/>
    <w:rsid w:val="007E3939"/>
    <w:rsid w:val="007E416C"/>
    <w:rsid w:val="007E43FB"/>
    <w:rsid w:val="007E4973"/>
    <w:rsid w:val="007E4DE3"/>
    <w:rsid w:val="007E4E55"/>
    <w:rsid w:val="007E5403"/>
    <w:rsid w:val="007E5A96"/>
    <w:rsid w:val="007E5BB8"/>
    <w:rsid w:val="007E5DFE"/>
    <w:rsid w:val="007E621F"/>
    <w:rsid w:val="007E6330"/>
    <w:rsid w:val="007E6691"/>
    <w:rsid w:val="007E70C9"/>
    <w:rsid w:val="007E72EE"/>
    <w:rsid w:val="007E776A"/>
    <w:rsid w:val="007E78A5"/>
    <w:rsid w:val="007F0763"/>
    <w:rsid w:val="007F07C1"/>
    <w:rsid w:val="007F095A"/>
    <w:rsid w:val="007F0A4F"/>
    <w:rsid w:val="007F0E6B"/>
    <w:rsid w:val="007F1814"/>
    <w:rsid w:val="007F200D"/>
    <w:rsid w:val="007F251E"/>
    <w:rsid w:val="007F290E"/>
    <w:rsid w:val="007F2AC7"/>
    <w:rsid w:val="007F2BF9"/>
    <w:rsid w:val="007F2D32"/>
    <w:rsid w:val="007F2D8F"/>
    <w:rsid w:val="007F3807"/>
    <w:rsid w:val="007F3E52"/>
    <w:rsid w:val="007F4A7E"/>
    <w:rsid w:val="007F4AB6"/>
    <w:rsid w:val="007F4BE1"/>
    <w:rsid w:val="007F545B"/>
    <w:rsid w:val="007F5846"/>
    <w:rsid w:val="007F5B53"/>
    <w:rsid w:val="007F5D22"/>
    <w:rsid w:val="007F5F8A"/>
    <w:rsid w:val="007F644B"/>
    <w:rsid w:val="007F682E"/>
    <w:rsid w:val="007F69AD"/>
    <w:rsid w:val="007F6E6E"/>
    <w:rsid w:val="007F725F"/>
    <w:rsid w:val="007F73C9"/>
    <w:rsid w:val="007F755E"/>
    <w:rsid w:val="007F78F1"/>
    <w:rsid w:val="008002A8"/>
    <w:rsid w:val="0080098C"/>
    <w:rsid w:val="00800FD3"/>
    <w:rsid w:val="0080111B"/>
    <w:rsid w:val="0080181B"/>
    <w:rsid w:val="00801B00"/>
    <w:rsid w:val="00802709"/>
    <w:rsid w:val="0080282A"/>
    <w:rsid w:val="00802BCB"/>
    <w:rsid w:val="00802DC4"/>
    <w:rsid w:val="00802DE7"/>
    <w:rsid w:val="0080346D"/>
    <w:rsid w:val="008036C2"/>
    <w:rsid w:val="00804156"/>
    <w:rsid w:val="00804C29"/>
    <w:rsid w:val="0080522F"/>
    <w:rsid w:val="008053AC"/>
    <w:rsid w:val="0080550D"/>
    <w:rsid w:val="00805BBD"/>
    <w:rsid w:val="00805D2F"/>
    <w:rsid w:val="00806336"/>
    <w:rsid w:val="00806672"/>
    <w:rsid w:val="00806ED5"/>
    <w:rsid w:val="0080727F"/>
    <w:rsid w:val="00807F49"/>
    <w:rsid w:val="00810199"/>
    <w:rsid w:val="008106E6"/>
    <w:rsid w:val="00810957"/>
    <w:rsid w:val="00810CD1"/>
    <w:rsid w:val="008114D2"/>
    <w:rsid w:val="0081172A"/>
    <w:rsid w:val="00811E27"/>
    <w:rsid w:val="008120EF"/>
    <w:rsid w:val="008124BE"/>
    <w:rsid w:val="00812667"/>
    <w:rsid w:val="008140D7"/>
    <w:rsid w:val="00814BF7"/>
    <w:rsid w:val="00814C64"/>
    <w:rsid w:val="00815C25"/>
    <w:rsid w:val="00815C4C"/>
    <w:rsid w:val="00816110"/>
    <w:rsid w:val="0081684B"/>
    <w:rsid w:val="008169C4"/>
    <w:rsid w:val="00816AA5"/>
    <w:rsid w:val="00816D0D"/>
    <w:rsid w:val="00816FF7"/>
    <w:rsid w:val="00817A26"/>
    <w:rsid w:val="00817E0C"/>
    <w:rsid w:val="00817E9F"/>
    <w:rsid w:val="00820321"/>
    <w:rsid w:val="00820E5E"/>
    <w:rsid w:val="00821636"/>
    <w:rsid w:val="00821A1A"/>
    <w:rsid w:val="00821ACF"/>
    <w:rsid w:val="008220C8"/>
    <w:rsid w:val="00822410"/>
    <w:rsid w:val="00822899"/>
    <w:rsid w:val="00823010"/>
    <w:rsid w:val="00823CB1"/>
    <w:rsid w:val="00823EC4"/>
    <w:rsid w:val="008246F2"/>
    <w:rsid w:val="008248FF"/>
    <w:rsid w:val="008249F7"/>
    <w:rsid w:val="00824E73"/>
    <w:rsid w:val="008253E7"/>
    <w:rsid w:val="00825EC9"/>
    <w:rsid w:val="0082634A"/>
    <w:rsid w:val="008263AC"/>
    <w:rsid w:val="00826ED1"/>
    <w:rsid w:val="0082745A"/>
    <w:rsid w:val="00827540"/>
    <w:rsid w:val="00827E34"/>
    <w:rsid w:val="00827FD2"/>
    <w:rsid w:val="00827FD6"/>
    <w:rsid w:val="008307E7"/>
    <w:rsid w:val="00830832"/>
    <w:rsid w:val="008311DD"/>
    <w:rsid w:val="00831C6D"/>
    <w:rsid w:val="00831D6B"/>
    <w:rsid w:val="008320A2"/>
    <w:rsid w:val="00832210"/>
    <w:rsid w:val="008324CE"/>
    <w:rsid w:val="00832CF5"/>
    <w:rsid w:val="008335A1"/>
    <w:rsid w:val="008338DD"/>
    <w:rsid w:val="00833954"/>
    <w:rsid w:val="00833A2C"/>
    <w:rsid w:val="00833F79"/>
    <w:rsid w:val="0083423C"/>
    <w:rsid w:val="0083471C"/>
    <w:rsid w:val="00834A4A"/>
    <w:rsid w:val="00835690"/>
    <w:rsid w:val="00835A54"/>
    <w:rsid w:val="00835E8D"/>
    <w:rsid w:val="00837106"/>
    <w:rsid w:val="00837113"/>
    <w:rsid w:val="0083736B"/>
    <w:rsid w:val="00837F6E"/>
    <w:rsid w:val="008407FD"/>
    <w:rsid w:val="008410C4"/>
    <w:rsid w:val="0084196F"/>
    <w:rsid w:val="00841E25"/>
    <w:rsid w:val="0084229C"/>
    <w:rsid w:val="008423ED"/>
    <w:rsid w:val="00842953"/>
    <w:rsid w:val="008429A2"/>
    <w:rsid w:val="00842D84"/>
    <w:rsid w:val="0084307C"/>
    <w:rsid w:val="0084332F"/>
    <w:rsid w:val="0084338C"/>
    <w:rsid w:val="008435DD"/>
    <w:rsid w:val="008439C9"/>
    <w:rsid w:val="00843D61"/>
    <w:rsid w:val="00843FA2"/>
    <w:rsid w:val="00844423"/>
    <w:rsid w:val="0084443F"/>
    <w:rsid w:val="00844AB1"/>
    <w:rsid w:val="00844BDD"/>
    <w:rsid w:val="00844CBA"/>
    <w:rsid w:val="00844EE7"/>
    <w:rsid w:val="00844F65"/>
    <w:rsid w:val="00844F74"/>
    <w:rsid w:val="00845003"/>
    <w:rsid w:val="008453B8"/>
    <w:rsid w:val="00845B7F"/>
    <w:rsid w:val="00846187"/>
    <w:rsid w:val="00846247"/>
    <w:rsid w:val="008470D3"/>
    <w:rsid w:val="008470E6"/>
    <w:rsid w:val="00847192"/>
    <w:rsid w:val="00847625"/>
    <w:rsid w:val="008502D9"/>
    <w:rsid w:val="00850D45"/>
    <w:rsid w:val="008518C9"/>
    <w:rsid w:val="00851E4D"/>
    <w:rsid w:val="00851EAB"/>
    <w:rsid w:val="00852630"/>
    <w:rsid w:val="008528FA"/>
    <w:rsid w:val="008529AC"/>
    <w:rsid w:val="008530D8"/>
    <w:rsid w:val="00853B9E"/>
    <w:rsid w:val="00853FAF"/>
    <w:rsid w:val="008540DC"/>
    <w:rsid w:val="00854428"/>
    <w:rsid w:val="00854C1D"/>
    <w:rsid w:val="008550FD"/>
    <w:rsid w:val="00855132"/>
    <w:rsid w:val="008551C7"/>
    <w:rsid w:val="008559D4"/>
    <w:rsid w:val="00855C7E"/>
    <w:rsid w:val="00855FA8"/>
    <w:rsid w:val="00856127"/>
    <w:rsid w:val="0085616A"/>
    <w:rsid w:val="00856FAB"/>
    <w:rsid w:val="00857091"/>
    <w:rsid w:val="008573F4"/>
    <w:rsid w:val="00857421"/>
    <w:rsid w:val="008574A1"/>
    <w:rsid w:val="00857C6A"/>
    <w:rsid w:val="00860860"/>
    <w:rsid w:val="00860D96"/>
    <w:rsid w:val="00861DF5"/>
    <w:rsid w:val="00862177"/>
    <w:rsid w:val="00862585"/>
    <w:rsid w:val="00862BF8"/>
    <w:rsid w:val="00862CC8"/>
    <w:rsid w:val="008636E3"/>
    <w:rsid w:val="00863773"/>
    <w:rsid w:val="00863B99"/>
    <w:rsid w:val="008640D2"/>
    <w:rsid w:val="008644F9"/>
    <w:rsid w:val="008645D9"/>
    <w:rsid w:val="008648C9"/>
    <w:rsid w:val="00864B1D"/>
    <w:rsid w:val="00865436"/>
    <w:rsid w:val="0086587C"/>
    <w:rsid w:val="0086607F"/>
    <w:rsid w:val="008666B7"/>
    <w:rsid w:val="00866D20"/>
    <w:rsid w:val="00867091"/>
    <w:rsid w:val="008700DB"/>
    <w:rsid w:val="00870334"/>
    <w:rsid w:val="00870D40"/>
    <w:rsid w:val="00870D88"/>
    <w:rsid w:val="0087129E"/>
    <w:rsid w:val="00871479"/>
    <w:rsid w:val="00871568"/>
    <w:rsid w:val="008718A7"/>
    <w:rsid w:val="008721E6"/>
    <w:rsid w:val="0087244B"/>
    <w:rsid w:val="0087248D"/>
    <w:rsid w:val="00872564"/>
    <w:rsid w:val="00872A4F"/>
    <w:rsid w:val="00872C4E"/>
    <w:rsid w:val="00873E90"/>
    <w:rsid w:val="0087406B"/>
    <w:rsid w:val="0087441E"/>
    <w:rsid w:val="008744B3"/>
    <w:rsid w:val="008752C1"/>
    <w:rsid w:val="008753C7"/>
    <w:rsid w:val="00875578"/>
    <w:rsid w:val="00875E26"/>
    <w:rsid w:val="008763D3"/>
    <w:rsid w:val="00876902"/>
    <w:rsid w:val="00876D13"/>
    <w:rsid w:val="00877021"/>
    <w:rsid w:val="008802E2"/>
    <w:rsid w:val="0088068A"/>
    <w:rsid w:val="00880D6B"/>
    <w:rsid w:val="00880DA7"/>
    <w:rsid w:val="00881065"/>
    <w:rsid w:val="008813B2"/>
    <w:rsid w:val="00881436"/>
    <w:rsid w:val="00881549"/>
    <w:rsid w:val="00881E70"/>
    <w:rsid w:val="00881FE2"/>
    <w:rsid w:val="008823F8"/>
    <w:rsid w:val="00883C6F"/>
    <w:rsid w:val="00883F97"/>
    <w:rsid w:val="00884495"/>
    <w:rsid w:val="008844CF"/>
    <w:rsid w:val="00885778"/>
    <w:rsid w:val="00885A13"/>
    <w:rsid w:val="00885D07"/>
    <w:rsid w:val="00885F80"/>
    <w:rsid w:val="00886160"/>
    <w:rsid w:val="00886331"/>
    <w:rsid w:val="0088651C"/>
    <w:rsid w:val="0088664B"/>
    <w:rsid w:val="00886682"/>
    <w:rsid w:val="00887369"/>
    <w:rsid w:val="0088754C"/>
    <w:rsid w:val="00887694"/>
    <w:rsid w:val="00887C8E"/>
    <w:rsid w:val="00887F8E"/>
    <w:rsid w:val="00890021"/>
    <w:rsid w:val="0089050D"/>
    <w:rsid w:val="00890C58"/>
    <w:rsid w:val="00890ED7"/>
    <w:rsid w:val="00891094"/>
    <w:rsid w:val="008916E9"/>
    <w:rsid w:val="0089179D"/>
    <w:rsid w:val="008918B6"/>
    <w:rsid w:val="0089190F"/>
    <w:rsid w:val="0089210E"/>
    <w:rsid w:val="00892170"/>
    <w:rsid w:val="008922B4"/>
    <w:rsid w:val="00892C2C"/>
    <w:rsid w:val="0089358A"/>
    <w:rsid w:val="00894328"/>
    <w:rsid w:val="00894662"/>
    <w:rsid w:val="00894977"/>
    <w:rsid w:val="008950F0"/>
    <w:rsid w:val="008955E5"/>
    <w:rsid w:val="00895C1E"/>
    <w:rsid w:val="00895D21"/>
    <w:rsid w:val="00897967"/>
    <w:rsid w:val="008A0D17"/>
    <w:rsid w:val="008A1444"/>
    <w:rsid w:val="008A15D9"/>
    <w:rsid w:val="008A1709"/>
    <w:rsid w:val="008A1CC4"/>
    <w:rsid w:val="008A2094"/>
    <w:rsid w:val="008A242E"/>
    <w:rsid w:val="008A2AE6"/>
    <w:rsid w:val="008A3193"/>
    <w:rsid w:val="008A336C"/>
    <w:rsid w:val="008A48FB"/>
    <w:rsid w:val="008A4EFD"/>
    <w:rsid w:val="008A5D77"/>
    <w:rsid w:val="008A5EF1"/>
    <w:rsid w:val="008A6DE3"/>
    <w:rsid w:val="008A6EAF"/>
    <w:rsid w:val="008A6F19"/>
    <w:rsid w:val="008A7ACB"/>
    <w:rsid w:val="008B06C5"/>
    <w:rsid w:val="008B077D"/>
    <w:rsid w:val="008B0A95"/>
    <w:rsid w:val="008B1865"/>
    <w:rsid w:val="008B18FE"/>
    <w:rsid w:val="008B1E05"/>
    <w:rsid w:val="008B21C3"/>
    <w:rsid w:val="008B2386"/>
    <w:rsid w:val="008B244A"/>
    <w:rsid w:val="008B258D"/>
    <w:rsid w:val="008B2621"/>
    <w:rsid w:val="008B2759"/>
    <w:rsid w:val="008B27C6"/>
    <w:rsid w:val="008B2A25"/>
    <w:rsid w:val="008B3C4E"/>
    <w:rsid w:val="008B3F8A"/>
    <w:rsid w:val="008B49CD"/>
    <w:rsid w:val="008B4BB9"/>
    <w:rsid w:val="008B50F0"/>
    <w:rsid w:val="008B549F"/>
    <w:rsid w:val="008B54C9"/>
    <w:rsid w:val="008B5BA0"/>
    <w:rsid w:val="008B5EDB"/>
    <w:rsid w:val="008B601C"/>
    <w:rsid w:val="008B6662"/>
    <w:rsid w:val="008B68C0"/>
    <w:rsid w:val="008B6DE7"/>
    <w:rsid w:val="008B7025"/>
    <w:rsid w:val="008B74FF"/>
    <w:rsid w:val="008B78BC"/>
    <w:rsid w:val="008B7F65"/>
    <w:rsid w:val="008C067B"/>
    <w:rsid w:val="008C070B"/>
    <w:rsid w:val="008C0987"/>
    <w:rsid w:val="008C119B"/>
    <w:rsid w:val="008C1F5F"/>
    <w:rsid w:val="008C2638"/>
    <w:rsid w:val="008C2680"/>
    <w:rsid w:val="008C27AB"/>
    <w:rsid w:val="008C2CD8"/>
    <w:rsid w:val="008C3719"/>
    <w:rsid w:val="008C384F"/>
    <w:rsid w:val="008C3915"/>
    <w:rsid w:val="008C476E"/>
    <w:rsid w:val="008C48EE"/>
    <w:rsid w:val="008C4AE7"/>
    <w:rsid w:val="008C4F99"/>
    <w:rsid w:val="008C526F"/>
    <w:rsid w:val="008C669C"/>
    <w:rsid w:val="008C68AA"/>
    <w:rsid w:val="008C695D"/>
    <w:rsid w:val="008C6E0F"/>
    <w:rsid w:val="008C6E32"/>
    <w:rsid w:val="008C722E"/>
    <w:rsid w:val="008C729F"/>
    <w:rsid w:val="008C7408"/>
    <w:rsid w:val="008C7982"/>
    <w:rsid w:val="008D04F6"/>
    <w:rsid w:val="008D072C"/>
    <w:rsid w:val="008D0D8D"/>
    <w:rsid w:val="008D0F6A"/>
    <w:rsid w:val="008D1023"/>
    <w:rsid w:val="008D19BA"/>
    <w:rsid w:val="008D4010"/>
    <w:rsid w:val="008D4436"/>
    <w:rsid w:val="008D4B94"/>
    <w:rsid w:val="008D51BE"/>
    <w:rsid w:val="008D57DB"/>
    <w:rsid w:val="008D58CC"/>
    <w:rsid w:val="008D6530"/>
    <w:rsid w:val="008D6E1D"/>
    <w:rsid w:val="008D7B4E"/>
    <w:rsid w:val="008D7E2E"/>
    <w:rsid w:val="008E05AC"/>
    <w:rsid w:val="008E0673"/>
    <w:rsid w:val="008E071C"/>
    <w:rsid w:val="008E074B"/>
    <w:rsid w:val="008E0A03"/>
    <w:rsid w:val="008E0AA5"/>
    <w:rsid w:val="008E0DA0"/>
    <w:rsid w:val="008E123A"/>
    <w:rsid w:val="008E18DB"/>
    <w:rsid w:val="008E19E0"/>
    <w:rsid w:val="008E2238"/>
    <w:rsid w:val="008E2552"/>
    <w:rsid w:val="008E2582"/>
    <w:rsid w:val="008E34C9"/>
    <w:rsid w:val="008E45C0"/>
    <w:rsid w:val="008E4627"/>
    <w:rsid w:val="008E494F"/>
    <w:rsid w:val="008E51AD"/>
    <w:rsid w:val="008E549D"/>
    <w:rsid w:val="008E5940"/>
    <w:rsid w:val="008E59ED"/>
    <w:rsid w:val="008E5EDE"/>
    <w:rsid w:val="008E6663"/>
    <w:rsid w:val="008E74A5"/>
    <w:rsid w:val="008E7618"/>
    <w:rsid w:val="008E7A23"/>
    <w:rsid w:val="008E7B94"/>
    <w:rsid w:val="008E7DE9"/>
    <w:rsid w:val="008F0178"/>
    <w:rsid w:val="008F0A0C"/>
    <w:rsid w:val="008F0A6E"/>
    <w:rsid w:val="008F0B6A"/>
    <w:rsid w:val="008F0E88"/>
    <w:rsid w:val="008F0EFD"/>
    <w:rsid w:val="008F100B"/>
    <w:rsid w:val="008F111C"/>
    <w:rsid w:val="008F1741"/>
    <w:rsid w:val="008F2264"/>
    <w:rsid w:val="008F27CA"/>
    <w:rsid w:val="008F2ADD"/>
    <w:rsid w:val="008F2BA1"/>
    <w:rsid w:val="008F2ECA"/>
    <w:rsid w:val="008F420F"/>
    <w:rsid w:val="008F46CC"/>
    <w:rsid w:val="008F4E32"/>
    <w:rsid w:val="008F6076"/>
    <w:rsid w:val="008F6327"/>
    <w:rsid w:val="008F63A6"/>
    <w:rsid w:val="008F68FE"/>
    <w:rsid w:val="008F71A3"/>
    <w:rsid w:val="008F73B4"/>
    <w:rsid w:val="008F7872"/>
    <w:rsid w:val="008F7943"/>
    <w:rsid w:val="008F7C3D"/>
    <w:rsid w:val="008F7DD0"/>
    <w:rsid w:val="009009F3"/>
    <w:rsid w:val="00900AE9"/>
    <w:rsid w:val="00900D85"/>
    <w:rsid w:val="00900EAE"/>
    <w:rsid w:val="009010EF"/>
    <w:rsid w:val="00901545"/>
    <w:rsid w:val="009015C0"/>
    <w:rsid w:val="0090175E"/>
    <w:rsid w:val="00901DC4"/>
    <w:rsid w:val="00902238"/>
    <w:rsid w:val="00902261"/>
    <w:rsid w:val="00902617"/>
    <w:rsid w:val="00903447"/>
    <w:rsid w:val="00903693"/>
    <w:rsid w:val="009037EF"/>
    <w:rsid w:val="00903863"/>
    <w:rsid w:val="00903A4B"/>
    <w:rsid w:val="00904348"/>
    <w:rsid w:val="0090458D"/>
    <w:rsid w:val="0090498A"/>
    <w:rsid w:val="00904B0F"/>
    <w:rsid w:val="00904F9C"/>
    <w:rsid w:val="0090638F"/>
    <w:rsid w:val="009066B7"/>
    <w:rsid w:val="00906722"/>
    <w:rsid w:val="00906903"/>
    <w:rsid w:val="00907108"/>
    <w:rsid w:val="009072F4"/>
    <w:rsid w:val="00907A5F"/>
    <w:rsid w:val="00907DCB"/>
    <w:rsid w:val="00907F39"/>
    <w:rsid w:val="00910384"/>
    <w:rsid w:val="009117E0"/>
    <w:rsid w:val="00911BEE"/>
    <w:rsid w:val="00911D7A"/>
    <w:rsid w:val="00911DCE"/>
    <w:rsid w:val="009127D6"/>
    <w:rsid w:val="009128A0"/>
    <w:rsid w:val="00912A17"/>
    <w:rsid w:val="00912E85"/>
    <w:rsid w:val="00913083"/>
    <w:rsid w:val="0091319E"/>
    <w:rsid w:val="009132B0"/>
    <w:rsid w:val="00913854"/>
    <w:rsid w:val="009139E0"/>
    <w:rsid w:val="00915457"/>
    <w:rsid w:val="00915788"/>
    <w:rsid w:val="0091591E"/>
    <w:rsid w:val="00915AD9"/>
    <w:rsid w:val="00915D9D"/>
    <w:rsid w:val="009165FE"/>
    <w:rsid w:val="0091728C"/>
    <w:rsid w:val="00917D3B"/>
    <w:rsid w:val="00920838"/>
    <w:rsid w:val="0092083F"/>
    <w:rsid w:val="009212A0"/>
    <w:rsid w:val="009214F6"/>
    <w:rsid w:val="009215B3"/>
    <w:rsid w:val="0092178E"/>
    <w:rsid w:val="00921A6D"/>
    <w:rsid w:val="00921BD7"/>
    <w:rsid w:val="00922158"/>
    <w:rsid w:val="00922277"/>
    <w:rsid w:val="0092275F"/>
    <w:rsid w:val="00922EC2"/>
    <w:rsid w:val="009230C5"/>
    <w:rsid w:val="00924040"/>
    <w:rsid w:val="0092423E"/>
    <w:rsid w:val="0092434A"/>
    <w:rsid w:val="00924EFF"/>
    <w:rsid w:val="009251E6"/>
    <w:rsid w:val="0092659B"/>
    <w:rsid w:val="00926809"/>
    <w:rsid w:val="009268A2"/>
    <w:rsid w:val="009271BB"/>
    <w:rsid w:val="009277C6"/>
    <w:rsid w:val="00927BFC"/>
    <w:rsid w:val="00927D0E"/>
    <w:rsid w:val="009300FC"/>
    <w:rsid w:val="009305A3"/>
    <w:rsid w:val="00930BA3"/>
    <w:rsid w:val="009313C5"/>
    <w:rsid w:val="00931552"/>
    <w:rsid w:val="00931565"/>
    <w:rsid w:val="00931702"/>
    <w:rsid w:val="009319F3"/>
    <w:rsid w:val="00931DF3"/>
    <w:rsid w:val="00931F6F"/>
    <w:rsid w:val="009321DD"/>
    <w:rsid w:val="0093235C"/>
    <w:rsid w:val="009325E3"/>
    <w:rsid w:val="00932B6B"/>
    <w:rsid w:val="00932FD7"/>
    <w:rsid w:val="009331BB"/>
    <w:rsid w:val="00933858"/>
    <w:rsid w:val="009339DA"/>
    <w:rsid w:val="00933EE9"/>
    <w:rsid w:val="0093404D"/>
    <w:rsid w:val="009341FC"/>
    <w:rsid w:val="00934687"/>
    <w:rsid w:val="00934892"/>
    <w:rsid w:val="00934B7B"/>
    <w:rsid w:val="00934F73"/>
    <w:rsid w:val="00935A6B"/>
    <w:rsid w:val="00935D5F"/>
    <w:rsid w:val="00936784"/>
    <w:rsid w:val="00936E26"/>
    <w:rsid w:val="00936EF8"/>
    <w:rsid w:val="0093790C"/>
    <w:rsid w:val="00937C4B"/>
    <w:rsid w:val="00937CA7"/>
    <w:rsid w:val="00937D80"/>
    <w:rsid w:val="009401F6"/>
    <w:rsid w:val="0094022B"/>
    <w:rsid w:val="0094040E"/>
    <w:rsid w:val="00940521"/>
    <w:rsid w:val="00940A4E"/>
    <w:rsid w:val="00940B80"/>
    <w:rsid w:val="00940DB4"/>
    <w:rsid w:val="009410A1"/>
    <w:rsid w:val="009410B8"/>
    <w:rsid w:val="009412AD"/>
    <w:rsid w:val="009415AF"/>
    <w:rsid w:val="00941D29"/>
    <w:rsid w:val="009423F3"/>
    <w:rsid w:val="0094296D"/>
    <w:rsid w:val="00942E84"/>
    <w:rsid w:val="00943E3F"/>
    <w:rsid w:val="0094416C"/>
    <w:rsid w:val="00944584"/>
    <w:rsid w:val="0094479F"/>
    <w:rsid w:val="00945673"/>
    <w:rsid w:val="00945990"/>
    <w:rsid w:val="00946053"/>
    <w:rsid w:val="00946939"/>
    <w:rsid w:val="00946C0C"/>
    <w:rsid w:val="00946CE4"/>
    <w:rsid w:val="00946E60"/>
    <w:rsid w:val="0094756A"/>
    <w:rsid w:val="00947CCD"/>
    <w:rsid w:val="00947EFF"/>
    <w:rsid w:val="00950AA7"/>
    <w:rsid w:val="00950DB6"/>
    <w:rsid w:val="00950E18"/>
    <w:rsid w:val="00950FE0"/>
    <w:rsid w:val="009512E1"/>
    <w:rsid w:val="00951C06"/>
    <w:rsid w:val="00951CD2"/>
    <w:rsid w:val="00951FCB"/>
    <w:rsid w:val="00952072"/>
    <w:rsid w:val="00952096"/>
    <w:rsid w:val="009529FE"/>
    <w:rsid w:val="00953141"/>
    <w:rsid w:val="0095368B"/>
    <w:rsid w:val="0095375E"/>
    <w:rsid w:val="00953B68"/>
    <w:rsid w:val="00953C19"/>
    <w:rsid w:val="00953E37"/>
    <w:rsid w:val="0095450B"/>
    <w:rsid w:val="009548A2"/>
    <w:rsid w:val="00954966"/>
    <w:rsid w:val="00954CFA"/>
    <w:rsid w:val="00954FA8"/>
    <w:rsid w:val="009555E4"/>
    <w:rsid w:val="00955DD3"/>
    <w:rsid w:val="00955EC0"/>
    <w:rsid w:val="009560B0"/>
    <w:rsid w:val="00956498"/>
    <w:rsid w:val="009567C5"/>
    <w:rsid w:val="00956B63"/>
    <w:rsid w:val="00957301"/>
    <w:rsid w:val="00957518"/>
    <w:rsid w:val="00957871"/>
    <w:rsid w:val="00957967"/>
    <w:rsid w:val="00957B08"/>
    <w:rsid w:val="00957CF0"/>
    <w:rsid w:val="00957DF7"/>
    <w:rsid w:val="009606EE"/>
    <w:rsid w:val="0096098B"/>
    <w:rsid w:val="009609BA"/>
    <w:rsid w:val="00960C43"/>
    <w:rsid w:val="00961161"/>
    <w:rsid w:val="009613C9"/>
    <w:rsid w:val="0096185C"/>
    <w:rsid w:val="00961AFE"/>
    <w:rsid w:val="00961C94"/>
    <w:rsid w:val="00961FD3"/>
    <w:rsid w:val="009620B5"/>
    <w:rsid w:val="0096227D"/>
    <w:rsid w:val="00962D4B"/>
    <w:rsid w:val="00963604"/>
    <w:rsid w:val="00963C50"/>
    <w:rsid w:val="00964C9F"/>
    <w:rsid w:val="00964F38"/>
    <w:rsid w:val="00965BB4"/>
    <w:rsid w:val="00965CB8"/>
    <w:rsid w:val="00965E95"/>
    <w:rsid w:val="00966A96"/>
    <w:rsid w:val="00966BD0"/>
    <w:rsid w:val="009678B5"/>
    <w:rsid w:val="00967916"/>
    <w:rsid w:val="00967A84"/>
    <w:rsid w:val="00967BA2"/>
    <w:rsid w:val="00967FC4"/>
    <w:rsid w:val="009701B0"/>
    <w:rsid w:val="00970910"/>
    <w:rsid w:val="00970C8C"/>
    <w:rsid w:val="009714C9"/>
    <w:rsid w:val="00971E53"/>
    <w:rsid w:val="00972E69"/>
    <w:rsid w:val="00973162"/>
    <w:rsid w:val="009732D9"/>
    <w:rsid w:val="0097341E"/>
    <w:rsid w:val="00973589"/>
    <w:rsid w:val="00973F20"/>
    <w:rsid w:val="00974240"/>
    <w:rsid w:val="00974549"/>
    <w:rsid w:val="00974CB3"/>
    <w:rsid w:val="00974D19"/>
    <w:rsid w:val="00974EE2"/>
    <w:rsid w:val="009751B7"/>
    <w:rsid w:val="009757EF"/>
    <w:rsid w:val="00976111"/>
    <w:rsid w:val="00976C20"/>
    <w:rsid w:val="00976CB4"/>
    <w:rsid w:val="00976E97"/>
    <w:rsid w:val="0097719E"/>
    <w:rsid w:val="009771F2"/>
    <w:rsid w:val="00977A9F"/>
    <w:rsid w:val="00977EFE"/>
    <w:rsid w:val="009805CD"/>
    <w:rsid w:val="00982198"/>
    <w:rsid w:val="009824AB"/>
    <w:rsid w:val="00982605"/>
    <w:rsid w:val="009826CF"/>
    <w:rsid w:val="00982FF2"/>
    <w:rsid w:val="009832A7"/>
    <w:rsid w:val="00983CD0"/>
    <w:rsid w:val="00983EF9"/>
    <w:rsid w:val="009846B5"/>
    <w:rsid w:val="00984B9D"/>
    <w:rsid w:val="00987B72"/>
    <w:rsid w:val="00987CE8"/>
    <w:rsid w:val="00990F35"/>
    <w:rsid w:val="009910BC"/>
    <w:rsid w:val="009911A0"/>
    <w:rsid w:val="00991587"/>
    <w:rsid w:val="00991734"/>
    <w:rsid w:val="009920F7"/>
    <w:rsid w:val="009923EE"/>
    <w:rsid w:val="009925E6"/>
    <w:rsid w:val="00992DC0"/>
    <w:rsid w:val="00992E9D"/>
    <w:rsid w:val="00992ED5"/>
    <w:rsid w:val="00992F38"/>
    <w:rsid w:val="0099350E"/>
    <w:rsid w:val="009940CE"/>
    <w:rsid w:val="009948DA"/>
    <w:rsid w:val="00995F7A"/>
    <w:rsid w:val="009960B3"/>
    <w:rsid w:val="009976E6"/>
    <w:rsid w:val="00997894"/>
    <w:rsid w:val="00997B59"/>
    <w:rsid w:val="009A044A"/>
    <w:rsid w:val="009A0515"/>
    <w:rsid w:val="009A0735"/>
    <w:rsid w:val="009A0EAD"/>
    <w:rsid w:val="009A0F3F"/>
    <w:rsid w:val="009A1235"/>
    <w:rsid w:val="009A1662"/>
    <w:rsid w:val="009A1AF5"/>
    <w:rsid w:val="009A1B55"/>
    <w:rsid w:val="009A2087"/>
    <w:rsid w:val="009A2180"/>
    <w:rsid w:val="009A226A"/>
    <w:rsid w:val="009A31A4"/>
    <w:rsid w:val="009A5049"/>
    <w:rsid w:val="009A561A"/>
    <w:rsid w:val="009A61EF"/>
    <w:rsid w:val="009A6338"/>
    <w:rsid w:val="009A6D62"/>
    <w:rsid w:val="009A7C9A"/>
    <w:rsid w:val="009B1A9C"/>
    <w:rsid w:val="009B2430"/>
    <w:rsid w:val="009B2D4A"/>
    <w:rsid w:val="009B3237"/>
    <w:rsid w:val="009B4570"/>
    <w:rsid w:val="009B47F2"/>
    <w:rsid w:val="009B5313"/>
    <w:rsid w:val="009B53AD"/>
    <w:rsid w:val="009B57EE"/>
    <w:rsid w:val="009B64AC"/>
    <w:rsid w:val="009B6BB4"/>
    <w:rsid w:val="009B762F"/>
    <w:rsid w:val="009B7B06"/>
    <w:rsid w:val="009B7D87"/>
    <w:rsid w:val="009C004C"/>
    <w:rsid w:val="009C0C1E"/>
    <w:rsid w:val="009C0E5F"/>
    <w:rsid w:val="009C1F27"/>
    <w:rsid w:val="009C1FD5"/>
    <w:rsid w:val="009C2532"/>
    <w:rsid w:val="009C26BD"/>
    <w:rsid w:val="009C27DD"/>
    <w:rsid w:val="009C33C3"/>
    <w:rsid w:val="009C3518"/>
    <w:rsid w:val="009C356C"/>
    <w:rsid w:val="009C515D"/>
    <w:rsid w:val="009C52D0"/>
    <w:rsid w:val="009C5D13"/>
    <w:rsid w:val="009C5FEA"/>
    <w:rsid w:val="009C6343"/>
    <w:rsid w:val="009C6833"/>
    <w:rsid w:val="009C6907"/>
    <w:rsid w:val="009C6E63"/>
    <w:rsid w:val="009C6F6A"/>
    <w:rsid w:val="009C78E3"/>
    <w:rsid w:val="009C7A2E"/>
    <w:rsid w:val="009D00F8"/>
    <w:rsid w:val="009D02E5"/>
    <w:rsid w:val="009D0674"/>
    <w:rsid w:val="009D07DA"/>
    <w:rsid w:val="009D0ED4"/>
    <w:rsid w:val="009D0F55"/>
    <w:rsid w:val="009D1AD9"/>
    <w:rsid w:val="009D1FC4"/>
    <w:rsid w:val="009D2BCB"/>
    <w:rsid w:val="009D2EFE"/>
    <w:rsid w:val="009D36A6"/>
    <w:rsid w:val="009D3B72"/>
    <w:rsid w:val="009D426B"/>
    <w:rsid w:val="009D43A3"/>
    <w:rsid w:val="009D4C50"/>
    <w:rsid w:val="009D584E"/>
    <w:rsid w:val="009D5A04"/>
    <w:rsid w:val="009D5D6A"/>
    <w:rsid w:val="009D5EB2"/>
    <w:rsid w:val="009D61B8"/>
    <w:rsid w:val="009D66AF"/>
    <w:rsid w:val="009D67C1"/>
    <w:rsid w:val="009D7E03"/>
    <w:rsid w:val="009E0B49"/>
    <w:rsid w:val="009E0B5C"/>
    <w:rsid w:val="009E0B82"/>
    <w:rsid w:val="009E0C32"/>
    <w:rsid w:val="009E1074"/>
    <w:rsid w:val="009E15F4"/>
    <w:rsid w:val="009E171A"/>
    <w:rsid w:val="009E1A84"/>
    <w:rsid w:val="009E234C"/>
    <w:rsid w:val="009E244B"/>
    <w:rsid w:val="009E2C42"/>
    <w:rsid w:val="009E3068"/>
    <w:rsid w:val="009E363B"/>
    <w:rsid w:val="009E3A34"/>
    <w:rsid w:val="009E3C0B"/>
    <w:rsid w:val="009E3EA4"/>
    <w:rsid w:val="009E40B0"/>
    <w:rsid w:val="009E434F"/>
    <w:rsid w:val="009E456E"/>
    <w:rsid w:val="009E4649"/>
    <w:rsid w:val="009E49BF"/>
    <w:rsid w:val="009E4A05"/>
    <w:rsid w:val="009E502F"/>
    <w:rsid w:val="009E52C7"/>
    <w:rsid w:val="009E5478"/>
    <w:rsid w:val="009E557C"/>
    <w:rsid w:val="009E5897"/>
    <w:rsid w:val="009E68A0"/>
    <w:rsid w:val="009E6DC8"/>
    <w:rsid w:val="009E6F0A"/>
    <w:rsid w:val="009E702A"/>
    <w:rsid w:val="009E71DA"/>
    <w:rsid w:val="009E7546"/>
    <w:rsid w:val="009E7B1F"/>
    <w:rsid w:val="009F02AE"/>
    <w:rsid w:val="009F036D"/>
    <w:rsid w:val="009F06D3"/>
    <w:rsid w:val="009F0C68"/>
    <w:rsid w:val="009F0DDF"/>
    <w:rsid w:val="009F10AF"/>
    <w:rsid w:val="009F1682"/>
    <w:rsid w:val="009F1CCA"/>
    <w:rsid w:val="009F1E99"/>
    <w:rsid w:val="009F2104"/>
    <w:rsid w:val="009F26BB"/>
    <w:rsid w:val="009F281D"/>
    <w:rsid w:val="009F284E"/>
    <w:rsid w:val="009F2B8B"/>
    <w:rsid w:val="009F37B9"/>
    <w:rsid w:val="009F40FA"/>
    <w:rsid w:val="009F4363"/>
    <w:rsid w:val="009F46A7"/>
    <w:rsid w:val="009F4DF3"/>
    <w:rsid w:val="009F6C67"/>
    <w:rsid w:val="009F7342"/>
    <w:rsid w:val="009F7658"/>
    <w:rsid w:val="009F7885"/>
    <w:rsid w:val="009F7D1E"/>
    <w:rsid w:val="009F7ED6"/>
    <w:rsid w:val="00A0008E"/>
    <w:rsid w:val="00A00569"/>
    <w:rsid w:val="00A00826"/>
    <w:rsid w:val="00A00B10"/>
    <w:rsid w:val="00A00D50"/>
    <w:rsid w:val="00A01062"/>
    <w:rsid w:val="00A01D45"/>
    <w:rsid w:val="00A02310"/>
    <w:rsid w:val="00A02559"/>
    <w:rsid w:val="00A025FC"/>
    <w:rsid w:val="00A02886"/>
    <w:rsid w:val="00A03015"/>
    <w:rsid w:val="00A0325E"/>
    <w:rsid w:val="00A03A7E"/>
    <w:rsid w:val="00A03B5D"/>
    <w:rsid w:val="00A04031"/>
    <w:rsid w:val="00A04277"/>
    <w:rsid w:val="00A042D7"/>
    <w:rsid w:val="00A04427"/>
    <w:rsid w:val="00A04467"/>
    <w:rsid w:val="00A04907"/>
    <w:rsid w:val="00A050E8"/>
    <w:rsid w:val="00A05F30"/>
    <w:rsid w:val="00A0660A"/>
    <w:rsid w:val="00A06C64"/>
    <w:rsid w:val="00A06DFD"/>
    <w:rsid w:val="00A06EBE"/>
    <w:rsid w:val="00A102CF"/>
    <w:rsid w:val="00A105D0"/>
    <w:rsid w:val="00A106FE"/>
    <w:rsid w:val="00A11500"/>
    <w:rsid w:val="00A1162D"/>
    <w:rsid w:val="00A11A02"/>
    <w:rsid w:val="00A1280E"/>
    <w:rsid w:val="00A12D2A"/>
    <w:rsid w:val="00A14538"/>
    <w:rsid w:val="00A150F8"/>
    <w:rsid w:val="00A1544F"/>
    <w:rsid w:val="00A157D5"/>
    <w:rsid w:val="00A1594D"/>
    <w:rsid w:val="00A16C44"/>
    <w:rsid w:val="00A16E55"/>
    <w:rsid w:val="00A17772"/>
    <w:rsid w:val="00A178D3"/>
    <w:rsid w:val="00A17C7F"/>
    <w:rsid w:val="00A17F02"/>
    <w:rsid w:val="00A21360"/>
    <w:rsid w:val="00A21655"/>
    <w:rsid w:val="00A218B2"/>
    <w:rsid w:val="00A22086"/>
    <w:rsid w:val="00A2272C"/>
    <w:rsid w:val="00A22857"/>
    <w:rsid w:val="00A22897"/>
    <w:rsid w:val="00A228D8"/>
    <w:rsid w:val="00A22B31"/>
    <w:rsid w:val="00A231D1"/>
    <w:rsid w:val="00A23283"/>
    <w:rsid w:val="00A23310"/>
    <w:rsid w:val="00A23A3B"/>
    <w:rsid w:val="00A23FFF"/>
    <w:rsid w:val="00A24035"/>
    <w:rsid w:val="00A2540F"/>
    <w:rsid w:val="00A25CBF"/>
    <w:rsid w:val="00A25DB8"/>
    <w:rsid w:val="00A2646E"/>
    <w:rsid w:val="00A2686B"/>
    <w:rsid w:val="00A26BF3"/>
    <w:rsid w:val="00A270C2"/>
    <w:rsid w:val="00A27220"/>
    <w:rsid w:val="00A27236"/>
    <w:rsid w:val="00A27424"/>
    <w:rsid w:val="00A27540"/>
    <w:rsid w:val="00A27706"/>
    <w:rsid w:val="00A27D80"/>
    <w:rsid w:val="00A3052C"/>
    <w:rsid w:val="00A306D9"/>
    <w:rsid w:val="00A3187E"/>
    <w:rsid w:val="00A32034"/>
    <w:rsid w:val="00A32443"/>
    <w:rsid w:val="00A330FE"/>
    <w:rsid w:val="00A33705"/>
    <w:rsid w:val="00A338F1"/>
    <w:rsid w:val="00A342AA"/>
    <w:rsid w:val="00A3509D"/>
    <w:rsid w:val="00A357CB"/>
    <w:rsid w:val="00A358C5"/>
    <w:rsid w:val="00A35A2C"/>
    <w:rsid w:val="00A35CF5"/>
    <w:rsid w:val="00A361F9"/>
    <w:rsid w:val="00A36977"/>
    <w:rsid w:val="00A36D53"/>
    <w:rsid w:val="00A36EFC"/>
    <w:rsid w:val="00A37331"/>
    <w:rsid w:val="00A3785C"/>
    <w:rsid w:val="00A37E14"/>
    <w:rsid w:val="00A37F48"/>
    <w:rsid w:val="00A4007B"/>
    <w:rsid w:val="00A40270"/>
    <w:rsid w:val="00A40310"/>
    <w:rsid w:val="00A40A99"/>
    <w:rsid w:val="00A40BDA"/>
    <w:rsid w:val="00A40D9C"/>
    <w:rsid w:val="00A40E1A"/>
    <w:rsid w:val="00A41373"/>
    <w:rsid w:val="00A413F7"/>
    <w:rsid w:val="00A41506"/>
    <w:rsid w:val="00A41E8B"/>
    <w:rsid w:val="00A426FF"/>
    <w:rsid w:val="00A4283F"/>
    <w:rsid w:val="00A43063"/>
    <w:rsid w:val="00A43612"/>
    <w:rsid w:val="00A43911"/>
    <w:rsid w:val="00A441D1"/>
    <w:rsid w:val="00A442B0"/>
    <w:rsid w:val="00A44D56"/>
    <w:rsid w:val="00A45507"/>
    <w:rsid w:val="00A463A7"/>
    <w:rsid w:val="00A471FD"/>
    <w:rsid w:val="00A47FBE"/>
    <w:rsid w:val="00A50AA5"/>
    <w:rsid w:val="00A50CFC"/>
    <w:rsid w:val="00A50E6E"/>
    <w:rsid w:val="00A50FD0"/>
    <w:rsid w:val="00A51409"/>
    <w:rsid w:val="00A51651"/>
    <w:rsid w:val="00A52DA2"/>
    <w:rsid w:val="00A52FC4"/>
    <w:rsid w:val="00A53917"/>
    <w:rsid w:val="00A5448E"/>
    <w:rsid w:val="00A547D9"/>
    <w:rsid w:val="00A54A21"/>
    <w:rsid w:val="00A54D17"/>
    <w:rsid w:val="00A56A34"/>
    <w:rsid w:val="00A56A6A"/>
    <w:rsid w:val="00A57162"/>
    <w:rsid w:val="00A571F2"/>
    <w:rsid w:val="00A57319"/>
    <w:rsid w:val="00A573B2"/>
    <w:rsid w:val="00A57923"/>
    <w:rsid w:val="00A57AB9"/>
    <w:rsid w:val="00A6003B"/>
    <w:rsid w:val="00A601C0"/>
    <w:rsid w:val="00A603FB"/>
    <w:rsid w:val="00A60930"/>
    <w:rsid w:val="00A609DA"/>
    <w:rsid w:val="00A60E09"/>
    <w:rsid w:val="00A61007"/>
    <w:rsid w:val="00A61F60"/>
    <w:rsid w:val="00A61FA4"/>
    <w:rsid w:val="00A6205C"/>
    <w:rsid w:val="00A62172"/>
    <w:rsid w:val="00A62400"/>
    <w:rsid w:val="00A629D6"/>
    <w:rsid w:val="00A62D48"/>
    <w:rsid w:val="00A62F70"/>
    <w:rsid w:val="00A63553"/>
    <w:rsid w:val="00A63E3B"/>
    <w:rsid w:val="00A63EEE"/>
    <w:rsid w:val="00A640EE"/>
    <w:rsid w:val="00A642A1"/>
    <w:rsid w:val="00A64460"/>
    <w:rsid w:val="00A64741"/>
    <w:rsid w:val="00A64907"/>
    <w:rsid w:val="00A64DBF"/>
    <w:rsid w:val="00A65BDF"/>
    <w:rsid w:val="00A65C2D"/>
    <w:rsid w:val="00A66769"/>
    <w:rsid w:val="00A66DA0"/>
    <w:rsid w:val="00A67012"/>
    <w:rsid w:val="00A67851"/>
    <w:rsid w:val="00A702B0"/>
    <w:rsid w:val="00A703BB"/>
    <w:rsid w:val="00A7060D"/>
    <w:rsid w:val="00A70BC0"/>
    <w:rsid w:val="00A70E17"/>
    <w:rsid w:val="00A71015"/>
    <w:rsid w:val="00A71020"/>
    <w:rsid w:val="00A71256"/>
    <w:rsid w:val="00A71BE1"/>
    <w:rsid w:val="00A71D96"/>
    <w:rsid w:val="00A72104"/>
    <w:rsid w:val="00A723D7"/>
    <w:rsid w:val="00A729E9"/>
    <w:rsid w:val="00A73BFB"/>
    <w:rsid w:val="00A73C13"/>
    <w:rsid w:val="00A7428D"/>
    <w:rsid w:val="00A749B0"/>
    <w:rsid w:val="00A74F97"/>
    <w:rsid w:val="00A7541B"/>
    <w:rsid w:val="00A75A97"/>
    <w:rsid w:val="00A75BB0"/>
    <w:rsid w:val="00A75C9B"/>
    <w:rsid w:val="00A761DF"/>
    <w:rsid w:val="00A77310"/>
    <w:rsid w:val="00A776EA"/>
    <w:rsid w:val="00A8080A"/>
    <w:rsid w:val="00A8089A"/>
    <w:rsid w:val="00A80AE6"/>
    <w:rsid w:val="00A80C45"/>
    <w:rsid w:val="00A81212"/>
    <w:rsid w:val="00A819CF"/>
    <w:rsid w:val="00A81FB3"/>
    <w:rsid w:val="00A82439"/>
    <w:rsid w:val="00A82649"/>
    <w:rsid w:val="00A82C53"/>
    <w:rsid w:val="00A82ED1"/>
    <w:rsid w:val="00A83E01"/>
    <w:rsid w:val="00A856C6"/>
    <w:rsid w:val="00A859E4"/>
    <w:rsid w:val="00A85AD7"/>
    <w:rsid w:val="00A86133"/>
    <w:rsid w:val="00A86A73"/>
    <w:rsid w:val="00A86CBE"/>
    <w:rsid w:val="00A87129"/>
    <w:rsid w:val="00A872F0"/>
    <w:rsid w:val="00A879C8"/>
    <w:rsid w:val="00A87C14"/>
    <w:rsid w:val="00A909DA"/>
    <w:rsid w:val="00A90ADD"/>
    <w:rsid w:val="00A91943"/>
    <w:rsid w:val="00A92133"/>
    <w:rsid w:val="00A92369"/>
    <w:rsid w:val="00A9305B"/>
    <w:rsid w:val="00A9313A"/>
    <w:rsid w:val="00A9318B"/>
    <w:rsid w:val="00A93529"/>
    <w:rsid w:val="00A93606"/>
    <w:rsid w:val="00A93CF2"/>
    <w:rsid w:val="00A9432D"/>
    <w:rsid w:val="00A94DA1"/>
    <w:rsid w:val="00A94FA6"/>
    <w:rsid w:val="00A956CE"/>
    <w:rsid w:val="00A95E2E"/>
    <w:rsid w:val="00A95E56"/>
    <w:rsid w:val="00A9684B"/>
    <w:rsid w:val="00A96F92"/>
    <w:rsid w:val="00AA02CB"/>
    <w:rsid w:val="00AA0379"/>
    <w:rsid w:val="00AA0925"/>
    <w:rsid w:val="00AA0A92"/>
    <w:rsid w:val="00AA0EC8"/>
    <w:rsid w:val="00AA0ECF"/>
    <w:rsid w:val="00AA1166"/>
    <w:rsid w:val="00AA14B5"/>
    <w:rsid w:val="00AA1891"/>
    <w:rsid w:val="00AA18F3"/>
    <w:rsid w:val="00AA1BFA"/>
    <w:rsid w:val="00AA23A2"/>
    <w:rsid w:val="00AA2B7E"/>
    <w:rsid w:val="00AA2CDC"/>
    <w:rsid w:val="00AA30EA"/>
    <w:rsid w:val="00AA32D6"/>
    <w:rsid w:val="00AA3535"/>
    <w:rsid w:val="00AA356A"/>
    <w:rsid w:val="00AA3590"/>
    <w:rsid w:val="00AA394E"/>
    <w:rsid w:val="00AA3D01"/>
    <w:rsid w:val="00AA4C95"/>
    <w:rsid w:val="00AA4CC0"/>
    <w:rsid w:val="00AA4D71"/>
    <w:rsid w:val="00AA5793"/>
    <w:rsid w:val="00AA59B9"/>
    <w:rsid w:val="00AA6582"/>
    <w:rsid w:val="00AA6AEE"/>
    <w:rsid w:val="00AA7348"/>
    <w:rsid w:val="00AA7358"/>
    <w:rsid w:val="00AB044B"/>
    <w:rsid w:val="00AB0B73"/>
    <w:rsid w:val="00AB146D"/>
    <w:rsid w:val="00AB149A"/>
    <w:rsid w:val="00AB16C4"/>
    <w:rsid w:val="00AB193D"/>
    <w:rsid w:val="00AB1C15"/>
    <w:rsid w:val="00AB1DD9"/>
    <w:rsid w:val="00AB25DC"/>
    <w:rsid w:val="00AB2D7D"/>
    <w:rsid w:val="00AB3727"/>
    <w:rsid w:val="00AB4083"/>
    <w:rsid w:val="00AB4483"/>
    <w:rsid w:val="00AB5A1B"/>
    <w:rsid w:val="00AB5FD5"/>
    <w:rsid w:val="00AB63BC"/>
    <w:rsid w:val="00AB644A"/>
    <w:rsid w:val="00AB64FC"/>
    <w:rsid w:val="00AB6A79"/>
    <w:rsid w:val="00AB7879"/>
    <w:rsid w:val="00AB7C7E"/>
    <w:rsid w:val="00AB7D8D"/>
    <w:rsid w:val="00AC0234"/>
    <w:rsid w:val="00AC023E"/>
    <w:rsid w:val="00AC03D3"/>
    <w:rsid w:val="00AC1391"/>
    <w:rsid w:val="00AC185C"/>
    <w:rsid w:val="00AC1B3C"/>
    <w:rsid w:val="00AC1F1D"/>
    <w:rsid w:val="00AC27E2"/>
    <w:rsid w:val="00AC2CF2"/>
    <w:rsid w:val="00AC2EB1"/>
    <w:rsid w:val="00AC347D"/>
    <w:rsid w:val="00AC3587"/>
    <w:rsid w:val="00AC37D4"/>
    <w:rsid w:val="00AC3931"/>
    <w:rsid w:val="00AC3BFD"/>
    <w:rsid w:val="00AC3C2E"/>
    <w:rsid w:val="00AC3D91"/>
    <w:rsid w:val="00AC43EF"/>
    <w:rsid w:val="00AC48B1"/>
    <w:rsid w:val="00AC49AD"/>
    <w:rsid w:val="00AC50EA"/>
    <w:rsid w:val="00AC55D0"/>
    <w:rsid w:val="00AC5741"/>
    <w:rsid w:val="00AC61BB"/>
    <w:rsid w:val="00AC63B4"/>
    <w:rsid w:val="00AC651E"/>
    <w:rsid w:val="00AC6BC9"/>
    <w:rsid w:val="00AC6D9D"/>
    <w:rsid w:val="00AC6DBC"/>
    <w:rsid w:val="00AC6E87"/>
    <w:rsid w:val="00AC79A8"/>
    <w:rsid w:val="00AC79D7"/>
    <w:rsid w:val="00AC7C06"/>
    <w:rsid w:val="00AC7C3E"/>
    <w:rsid w:val="00AC7FDC"/>
    <w:rsid w:val="00AD11D8"/>
    <w:rsid w:val="00AD1547"/>
    <w:rsid w:val="00AD1FA9"/>
    <w:rsid w:val="00AD2278"/>
    <w:rsid w:val="00AD24CD"/>
    <w:rsid w:val="00AD2518"/>
    <w:rsid w:val="00AD2554"/>
    <w:rsid w:val="00AD2850"/>
    <w:rsid w:val="00AD2C7F"/>
    <w:rsid w:val="00AD2E55"/>
    <w:rsid w:val="00AD307A"/>
    <w:rsid w:val="00AD3582"/>
    <w:rsid w:val="00AD3ABA"/>
    <w:rsid w:val="00AD42F8"/>
    <w:rsid w:val="00AD4556"/>
    <w:rsid w:val="00AD5088"/>
    <w:rsid w:val="00AD518F"/>
    <w:rsid w:val="00AD5258"/>
    <w:rsid w:val="00AD57E2"/>
    <w:rsid w:val="00AD5E3E"/>
    <w:rsid w:val="00AD6F70"/>
    <w:rsid w:val="00AD753E"/>
    <w:rsid w:val="00AD7D0A"/>
    <w:rsid w:val="00AE05A7"/>
    <w:rsid w:val="00AE220E"/>
    <w:rsid w:val="00AE2564"/>
    <w:rsid w:val="00AE2675"/>
    <w:rsid w:val="00AE29CC"/>
    <w:rsid w:val="00AE2B72"/>
    <w:rsid w:val="00AE3F96"/>
    <w:rsid w:val="00AE5146"/>
    <w:rsid w:val="00AE51F5"/>
    <w:rsid w:val="00AE5413"/>
    <w:rsid w:val="00AE5572"/>
    <w:rsid w:val="00AE57F9"/>
    <w:rsid w:val="00AE5A93"/>
    <w:rsid w:val="00AE5B03"/>
    <w:rsid w:val="00AE64F6"/>
    <w:rsid w:val="00AE776E"/>
    <w:rsid w:val="00AF0758"/>
    <w:rsid w:val="00AF0E54"/>
    <w:rsid w:val="00AF15E1"/>
    <w:rsid w:val="00AF16AB"/>
    <w:rsid w:val="00AF1BE8"/>
    <w:rsid w:val="00AF1C0F"/>
    <w:rsid w:val="00AF3216"/>
    <w:rsid w:val="00AF498E"/>
    <w:rsid w:val="00AF4A6A"/>
    <w:rsid w:val="00AF4A9C"/>
    <w:rsid w:val="00AF4F10"/>
    <w:rsid w:val="00AF5582"/>
    <w:rsid w:val="00AF6149"/>
    <w:rsid w:val="00AF63F7"/>
    <w:rsid w:val="00AF65E7"/>
    <w:rsid w:val="00AF6716"/>
    <w:rsid w:val="00AF6F26"/>
    <w:rsid w:val="00B00D24"/>
    <w:rsid w:val="00B0154F"/>
    <w:rsid w:val="00B01FD1"/>
    <w:rsid w:val="00B021B5"/>
    <w:rsid w:val="00B02434"/>
    <w:rsid w:val="00B028A4"/>
    <w:rsid w:val="00B03001"/>
    <w:rsid w:val="00B031C0"/>
    <w:rsid w:val="00B034F1"/>
    <w:rsid w:val="00B04566"/>
    <w:rsid w:val="00B04970"/>
    <w:rsid w:val="00B04C5B"/>
    <w:rsid w:val="00B054EA"/>
    <w:rsid w:val="00B056F4"/>
    <w:rsid w:val="00B05D8F"/>
    <w:rsid w:val="00B05E79"/>
    <w:rsid w:val="00B06790"/>
    <w:rsid w:val="00B068FC"/>
    <w:rsid w:val="00B06DE1"/>
    <w:rsid w:val="00B06F61"/>
    <w:rsid w:val="00B07010"/>
    <w:rsid w:val="00B076A0"/>
    <w:rsid w:val="00B100D2"/>
    <w:rsid w:val="00B1072D"/>
    <w:rsid w:val="00B1107C"/>
    <w:rsid w:val="00B11207"/>
    <w:rsid w:val="00B11210"/>
    <w:rsid w:val="00B12056"/>
    <w:rsid w:val="00B12142"/>
    <w:rsid w:val="00B12C20"/>
    <w:rsid w:val="00B12CE9"/>
    <w:rsid w:val="00B12E0A"/>
    <w:rsid w:val="00B13EFF"/>
    <w:rsid w:val="00B14494"/>
    <w:rsid w:val="00B14B94"/>
    <w:rsid w:val="00B14D6E"/>
    <w:rsid w:val="00B15278"/>
    <w:rsid w:val="00B15286"/>
    <w:rsid w:val="00B1551D"/>
    <w:rsid w:val="00B16443"/>
    <w:rsid w:val="00B16E99"/>
    <w:rsid w:val="00B16F2C"/>
    <w:rsid w:val="00B17533"/>
    <w:rsid w:val="00B200EB"/>
    <w:rsid w:val="00B20518"/>
    <w:rsid w:val="00B20A2E"/>
    <w:rsid w:val="00B215DE"/>
    <w:rsid w:val="00B216AD"/>
    <w:rsid w:val="00B2293D"/>
    <w:rsid w:val="00B22E7E"/>
    <w:rsid w:val="00B23201"/>
    <w:rsid w:val="00B23483"/>
    <w:rsid w:val="00B234AB"/>
    <w:rsid w:val="00B24569"/>
    <w:rsid w:val="00B246AC"/>
    <w:rsid w:val="00B24802"/>
    <w:rsid w:val="00B24D13"/>
    <w:rsid w:val="00B25262"/>
    <w:rsid w:val="00B25958"/>
    <w:rsid w:val="00B25C53"/>
    <w:rsid w:val="00B25C5B"/>
    <w:rsid w:val="00B267B9"/>
    <w:rsid w:val="00B26808"/>
    <w:rsid w:val="00B26E02"/>
    <w:rsid w:val="00B279FF"/>
    <w:rsid w:val="00B3001A"/>
    <w:rsid w:val="00B302FE"/>
    <w:rsid w:val="00B307A6"/>
    <w:rsid w:val="00B30D8F"/>
    <w:rsid w:val="00B310DC"/>
    <w:rsid w:val="00B31C77"/>
    <w:rsid w:val="00B31E76"/>
    <w:rsid w:val="00B320EA"/>
    <w:rsid w:val="00B32246"/>
    <w:rsid w:val="00B324CA"/>
    <w:rsid w:val="00B32676"/>
    <w:rsid w:val="00B32740"/>
    <w:rsid w:val="00B328CD"/>
    <w:rsid w:val="00B329D1"/>
    <w:rsid w:val="00B32E30"/>
    <w:rsid w:val="00B331B4"/>
    <w:rsid w:val="00B335FA"/>
    <w:rsid w:val="00B337CB"/>
    <w:rsid w:val="00B33CB8"/>
    <w:rsid w:val="00B34066"/>
    <w:rsid w:val="00B343ED"/>
    <w:rsid w:val="00B34435"/>
    <w:rsid w:val="00B348C3"/>
    <w:rsid w:val="00B35460"/>
    <w:rsid w:val="00B35C8E"/>
    <w:rsid w:val="00B37115"/>
    <w:rsid w:val="00B37377"/>
    <w:rsid w:val="00B37696"/>
    <w:rsid w:val="00B37A75"/>
    <w:rsid w:val="00B37D0F"/>
    <w:rsid w:val="00B37D77"/>
    <w:rsid w:val="00B40965"/>
    <w:rsid w:val="00B40B88"/>
    <w:rsid w:val="00B40E20"/>
    <w:rsid w:val="00B40F96"/>
    <w:rsid w:val="00B420D5"/>
    <w:rsid w:val="00B42496"/>
    <w:rsid w:val="00B42565"/>
    <w:rsid w:val="00B428AF"/>
    <w:rsid w:val="00B43158"/>
    <w:rsid w:val="00B43609"/>
    <w:rsid w:val="00B437BB"/>
    <w:rsid w:val="00B43DA6"/>
    <w:rsid w:val="00B43ED7"/>
    <w:rsid w:val="00B44672"/>
    <w:rsid w:val="00B447C9"/>
    <w:rsid w:val="00B44AFB"/>
    <w:rsid w:val="00B44CF2"/>
    <w:rsid w:val="00B45240"/>
    <w:rsid w:val="00B45337"/>
    <w:rsid w:val="00B45A24"/>
    <w:rsid w:val="00B45A6A"/>
    <w:rsid w:val="00B462A3"/>
    <w:rsid w:val="00B4662A"/>
    <w:rsid w:val="00B472F0"/>
    <w:rsid w:val="00B479D2"/>
    <w:rsid w:val="00B50174"/>
    <w:rsid w:val="00B50498"/>
    <w:rsid w:val="00B50989"/>
    <w:rsid w:val="00B509CB"/>
    <w:rsid w:val="00B50C6C"/>
    <w:rsid w:val="00B50EFE"/>
    <w:rsid w:val="00B50F1C"/>
    <w:rsid w:val="00B51CC3"/>
    <w:rsid w:val="00B51E83"/>
    <w:rsid w:val="00B527B4"/>
    <w:rsid w:val="00B52A81"/>
    <w:rsid w:val="00B52AC5"/>
    <w:rsid w:val="00B52B07"/>
    <w:rsid w:val="00B52E29"/>
    <w:rsid w:val="00B52E74"/>
    <w:rsid w:val="00B533AB"/>
    <w:rsid w:val="00B534CE"/>
    <w:rsid w:val="00B5366D"/>
    <w:rsid w:val="00B53B74"/>
    <w:rsid w:val="00B53B92"/>
    <w:rsid w:val="00B53DB8"/>
    <w:rsid w:val="00B53FCF"/>
    <w:rsid w:val="00B54353"/>
    <w:rsid w:val="00B54D18"/>
    <w:rsid w:val="00B5546D"/>
    <w:rsid w:val="00B556D6"/>
    <w:rsid w:val="00B5578B"/>
    <w:rsid w:val="00B5664E"/>
    <w:rsid w:val="00B566C0"/>
    <w:rsid w:val="00B570EB"/>
    <w:rsid w:val="00B5720B"/>
    <w:rsid w:val="00B576AF"/>
    <w:rsid w:val="00B579F4"/>
    <w:rsid w:val="00B606C8"/>
    <w:rsid w:val="00B60752"/>
    <w:rsid w:val="00B60C37"/>
    <w:rsid w:val="00B619C9"/>
    <w:rsid w:val="00B61C48"/>
    <w:rsid w:val="00B61FB2"/>
    <w:rsid w:val="00B620E1"/>
    <w:rsid w:val="00B62601"/>
    <w:rsid w:val="00B627BA"/>
    <w:rsid w:val="00B62C26"/>
    <w:rsid w:val="00B63873"/>
    <w:rsid w:val="00B644CD"/>
    <w:rsid w:val="00B645EE"/>
    <w:rsid w:val="00B64945"/>
    <w:rsid w:val="00B64C98"/>
    <w:rsid w:val="00B64E5D"/>
    <w:rsid w:val="00B64ECA"/>
    <w:rsid w:val="00B64F79"/>
    <w:rsid w:val="00B65683"/>
    <w:rsid w:val="00B65CA1"/>
    <w:rsid w:val="00B65D28"/>
    <w:rsid w:val="00B664FE"/>
    <w:rsid w:val="00B66816"/>
    <w:rsid w:val="00B669F9"/>
    <w:rsid w:val="00B66AAB"/>
    <w:rsid w:val="00B66FD3"/>
    <w:rsid w:val="00B67109"/>
    <w:rsid w:val="00B70733"/>
    <w:rsid w:val="00B70746"/>
    <w:rsid w:val="00B70AB9"/>
    <w:rsid w:val="00B70D95"/>
    <w:rsid w:val="00B71137"/>
    <w:rsid w:val="00B71188"/>
    <w:rsid w:val="00B71D76"/>
    <w:rsid w:val="00B724EF"/>
    <w:rsid w:val="00B7260F"/>
    <w:rsid w:val="00B73200"/>
    <w:rsid w:val="00B73285"/>
    <w:rsid w:val="00B74383"/>
    <w:rsid w:val="00B74498"/>
    <w:rsid w:val="00B75465"/>
    <w:rsid w:val="00B75589"/>
    <w:rsid w:val="00B759AD"/>
    <w:rsid w:val="00B7665C"/>
    <w:rsid w:val="00B77AE2"/>
    <w:rsid w:val="00B77B49"/>
    <w:rsid w:val="00B80097"/>
    <w:rsid w:val="00B8031F"/>
    <w:rsid w:val="00B8061E"/>
    <w:rsid w:val="00B8071B"/>
    <w:rsid w:val="00B80FF2"/>
    <w:rsid w:val="00B812AD"/>
    <w:rsid w:val="00B81998"/>
    <w:rsid w:val="00B81A1A"/>
    <w:rsid w:val="00B81B74"/>
    <w:rsid w:val="00B81EF5"/>
    <w:rsid w:val="00B84330"/>
    <w:rsid w:val="00B84C9C"/>
    <w:rsid w:val="00B8538D"/>
    <w:rsid w:val="00B85A95"/>
    <w:rsid w:val="00B85B4F"/>
    <w:rsid w:val="00B85BBE"/>
    <w:rsid w:val="00B85C58"/>
    <w:rsid w:val="00B85FA0"/>
    <w:rsid w:val="00B86FD3"/>
    <w:rsid w:val="00B874FD"/>
    <w:rsid w:val="00B87A74"/>
    <w:rsid w:val="00B87D14"/>
    <w:rsid w:val="00B90042"/>
    <w:rsid w:val="00B902BE"/>
    <w:rsid w:val="00B906AA"/>
    <w:rsid w:val="00B906AC"/>
    <w:rsid w:val="00B90F21"/>
    <w:rsid w:val="00B9192B"/>
    <w:rsid w:val="00B91B2C"/>
    <w:rsid w:val="00B91D4F"/>
    <w:rsid w:val="00B92062"/>
    <w:rsid w:val="00B928AF"/>
    <w:rsid w:val="00B92A49"/>
    <w:rsid w:val="00B92B5D"/>
    <w:rsid w:val="00B932ED"/>
    <w:rsid w:val="00B9341C"/>
    <w:rsid w:val="00B937FB"/>
    <w:rsid w:val="00B93813"/>
    <w:rsid w:val="00B94F75"/>
    <w:rsid w:val="00B95681"/>
    <w:rsid w:val="00B957B6"/>
    <w:rsid w:val="00B95909"/>
    <w:rsid w:val="00B95C5B"/>
    <w:rsid w:val="00B95CA9"/>
    <w:rsid w:val="00B96620"/>
    <w:rsid w:val="00B97698"/>
    <w:rsid w:val="00B97950"/>
    <w:rsid w:val="00B97A7A"/>
    <w:rsid w:val="00B97B8D"/>
    <w:rsid w:val="00B97E32"/>
    <w:rsid w:val="00BA08AD"/>
    <w:rsid w:val="00BA09F4"/>
    <w:rsid w:val="00BA0BC7"/>
    <w:rsid w:val="00BA0F4C"/>
    <w:rsid w:val="00BA10C1"/>
    <w:rsid w:val="00BA1361"/>
    <w:rsid w:val="00BA183E"/>
    <w:rsid w:val="00BA3191"/>
    <w:rsid w:val="00BA3216"/>
    <w:rsid w:val="00BA3985"/>
    <w:rsid w:val="00BA3A44"/>
    <w:rsid w:val="00BA4B2E"/>
    <w:rsid w:val="00BA529A"/>
    <w:rsid w:val="00BA5502"/>
    <w:rsid w:val="00BA56A0"/>
    <w:rsid w:val="00BA58DC"/>
    <w:rsid w:val="00BA6FCA"/>
    <w:rsid w:val="00BA70CE"/>
    <w:rsid w:val="00BA744B"/>
    <w:rsid w:val="00BA7982"/>
    <w:rsid w:val="00BA7AC9"/>
    <w:rsid w:val="00BA7CE9"/>
    <w:rsid w:val="00BA7D33"/>
    <w:rsid w:val="00BB2C12"/>
    <w:rsid w:val="00BB3AD0"/>
    <w:rsid w:val="00BB3E2F"/>
    <w:rsid w:val="00BB3F3D"/>
    <w:rsid w:val="00BB42E2"/>
    <w:rsid w:val="00BB45CE"/>
    <w:rsid w:val="00BB4B8B"/>
    <w:rsid w:val="00BB4C0E"/>
    <w:rsid w:val="00BB4C29"/>
    <w:rsid w:val="00BB656B"/>
    <w:rsid w:val="00BB66E4"/>
    <w:rsid w:val="00BB6B3A"/>
    <w:rsid w:val="00BB6C7E"/>
    <w:rsid w:val="00BB6D39"/>
    <w:rsid w:val="00BC0490"/>
    <w:rsid w:val="00BC0A7E"/>
    <w:rsid w:val="00BC1098"/>
    <w:rsid w:val="00BC1336"/>
    <w:rsid w:val="00BC1555"/>
    <w:rsid w:val="00BC1EE0"/>
    <w:rsid w:val="00BC2151"/>
    <w:rsid w:val="00BC2263"/>
    <w:rsid w:val="00BC3389"/>
    <w:rsid w:val="00BC3643"/>
    <w:rsid w:val="00BC3E9C"/>
    <w:rsid w:val="00BC4590"/>
    <w:rsid w:val="00BC4A0E"/>
    <w:rsid w:val="00BC4D11"/>
    <w:rsid w:val="00BC4F7C"/>
    <w:rsid w:val="00BC52EA"/>
    <w:rsid w:val="00BC5A66"/>
    <w:rsid w:val="00BC5B55"/>
    <w:rsid w:val="00BC5D7A"/>
    <w:rsid w:val="00BC5DA4"/>
    <w:rsid w:val="00BC6820"/>
    <w:rsid w:val="00BC683A"/>
    <w:rsid w:val="00BC6D56"/>
    <w:rsid w:val="00BD03CB"/>
    <w:rsid w:val="00BD07E6"/>
    <w:rsid w:val="00BD0BE3"/>
    <w:rsid w:val="00BD1724"/>
    <w:rsid w:val="00BD18F7"/>
    <w:rsid w:val="00BD1B82"/>
    <w:rsid w:val="00BD21D7"/>
    <w:rsid w:val="00BD25A5"/>
    <w:rsid w:val="00BD29D3"/>
    <w:rsid w:val="00BD2E7F"/>
    <w:rsid w:val="00BD3083"/>
    <w:rsid w:val="00BD32BA"/>
    <w:rsid w:val="00BD3EFE"/>
    <w:rsid w:val="00BD4284"/>
    <w:rsid w:val="00BD46EE"/>
    <w:rsid w:val="00BD4D0B"/>
    <w:rsid w:val="00BD4D7D"/>
    <w:rsid w:val="00BD56A5"/>
    <w:rsid w:val="00BD5815"/>
    <w:rsid w:val="00BD7152"/>
    <w:rsid w:val="00BD7153"/>
    <w:rsid w:val="00BD75A8"/>
    <w:rsid w:val="00BD77DC"/>
    <w:rsid w:val="00BD7F55"/>
    <w:rsid w:val="00BE0299"/>
    <w:rsid w:val="00BE0516"/>
    <w:rsid w:val="00BE0816"/>
    <w:rsid w:val="00BE11A1"/>
    <w:rsid w:val="00BE123D"/>
    <w:rsid w:val="00BE21E6"/>
    <w:rsid w:val="00BE22BB"/>
    <w:rsid w:val="00BE2732"/>
    <w:rsid w:val="00BE2994"/>
    <w:rsid w:val="00BE2F59"/>
    <w:rsid w:val="00BE3136"/>
    <w:rsid w:val="00BE3400"/>
    <w:rsid w:val="00BE341B"/>
    <w:rsid w:val="00BE39FF"/>
    <w:rsid w:val="00BE3AA6"/>
    <w:rsid w:val="00BE4BEA"/>
    <w:rsid w:val="00BE528D"/>
    <w:rsid w:val="00BE5542"/>
    <w:rsid w:val="00BE5A7F"/>
    <w:rsid w:val="00BE5FE4"/>
    <w:rsid w:val="00BE68A9"/>
    <w:rsid w:val="00BE6939"/>
    <w:rsid w:val="00BE6B83"/>
    <w:rsid w:val="00BE7035"/>
    <w:rsid w:val="00BE7316"/>
    <w:rsid w:val="00BE7675"/>
    <w:rsid w:val="00BE79FA"/>
    <w:rsid w:val="00BE7D3E"/>
    <w:rsid w:val="00BF04DA"/>
    <w:rsid w:val="00BF1E06"/>
    <w:rsid w:val="00BF1E97"/>
    <w:rsid w:val="00BF1F23"/>
    <w:rsid w:val="00BF22FD"/>
    <w:rsid w:val="00BF3A4C"/>
    <w:rsid w:val="00BF3AB7"/>
    <w:rsid w:val="00BF3D08"/>
    <w:rsid w:val="00BF4208"/>
    <w:rsid w:val="00BF420A"/>
    <w:rsid w:val="00BF45D3"/>
    <w:rsid w:val="00BF5A9F"/>
    <w:rsid w:val="00BF5ECA"/>
    <w:rsid w:val="00BF61E0"/>
    <w:rsid w:val="00BF6562"/>
    <w:rsid w:val="00BF6D45"/>
    <w:rsid w:val="00BF7043"/>
    <w:rsid w:val="00BF7122"/>
    <w:rsid w:val="00C00232"/>
    <w:rsid w:val="00C00E6A"/>
    <w:rsid w:val="00C00E6E"/>
    <w:rsid w:val="00C0134C"/>
    <w:rsid w:val="00C015E4"/>
    <w:rsid w:val="00C018FD"/>
    <w:rsid w:val="00C01A94"/>
    <w:rsid w:val="00C02C2C"/>
    <w:rsid w:val="00C02DEC"/>
    <w:rsid w:val="00C02EA9"/>
    <w:rsid w:val="00C034F5"/>
    <w:rsid w:val="00C038A8"/>
    <w:rsid w:val="00C03C87"/>
    <w:rsid w:val="00C049DD"/>
    <w:rsid w:val="00C05076"/>
    <w:rsid w:val="00C051D0"/>
    <w:rsid w:val="00C052AC"/>
    <w:rsid w:val="00C056B1"/>
    <w:rsid w:val="00C05839"/>
    <w:rsid w:val="00C05966"/>
    <w:rsid w:val="00C05A61"/>
    <w:rsid w:val="00C05E03"/>
    <w:rsid w:val="00C060E2"/>
    <w:rsid w:val="00C06B3B"/>
    <w:rsid w:val="00C07729"/>
    <w:rsid w:val="00C07790"/>
    <w:rsid w:val="00C078A0"/>
    <w:rsid w:val="00C07911"/>
    <w:rsid w:val="00C10045"/>
    <w:rsid w:val="00C100ED"/>
    <w:rsid w:val="00C1029A"/>
    <w:rsid w:val="00C12433"/>
    <w:rsid w:val="00C12665"/>
    <w:rsid w:val="00C12A0F"/>
    <w:rsid w:val="00C13809"/>
    <w:rsid w:val="00C13A1D"/>
    <w:rsid w:val="00C13EC5"/>
    <w:rsid w:val="00C15565"/>
    <w:rsid w:val="00C159D2"/>
    <w:rsid w:val="00C16B30"/>
    <w:rsid w:val="00C16CAB"/>
    <w:rsid w:val="00C16FEF"/>
    <w:rsid w:val="00C17348"/>
    <w:rsid w:val="00C17369"/>
    <w:rsid w:val="00C175EF"/>
    <w:rsid w:val="00C178AB"/>
    <w:rsid w:val="00C17B5E"/>
    <w:rsid w:val="00C17DAE"/>
    <w:rsid w:val="00C17E56"/>
    <w:rsid w:val="00C2007C"/>
    <w:rsid w:val="00C20215"/>
    <w:rsid w:val="00C2088B"/>
    <w:rsid w:val="00C20BBE"/>
    <w:rsid w:val="00C2132D"/>
    <w:rsid w:val="00C22006"/>
    <w:rsid w:val="00C22853"/>
    <w:rsid w:val="00C22A28"/>
    <w:rsid w:val="00C230FA"/>
    <w:rsid w:val="00C2337F"/>
    <w:rsid w:val="00C23928"/>
    <w:rsid w:val="00C2399C"/>
    <w:rsid w:val="00C25115"/>
    <w:rsid w:val="00C2516E"/>
    <w:rsid w:val="00C25CAC"/>
    <w:rsid w:val="00C25E51"/>
    <w:rsid w:val="00C25FDF"/>
    <w:rsid w:val="00C26026"/>
    <w:rsid w:val="00C26CCD"/>
    <w:rsid w:val="00C2701B"/>
    <w:rsid w:val="00C27138"/>
    <w:rsid w:val="00C27EEC"/>
    <w:rsid w:val="00C30AC0"/>
    <w:rsid w:val="00C30D52"/>
    <w:rsid w:val="00C30E74"/>
    <w:rsid w:val="00C31052"/>
    <w:rsid w:val="00C312F7"/>
    <w:rsid w:val="00C318B2"/>
    <w:rsid w:val="00C3226C"/>
    <w:rsid w:val="00C327C9"/>
    <w:rsid w:val="00C32AC9"/>
    <w:rsid w:val="00C32C45"/>
    <w:rsid w:val="00C33DD3"/>
    <w:rsid w:val="00C34055"/>
    <w:rsid w:val="00C34BC7"/>
    <w:rsid w:val="00C3549D"/>
    <w:rsid w:val="00C35BF4"/>
    <w:rsid w:val="00C373F7"/>
    <w:rsid w:val="00C37F5E"/>
    <w:rsid w:val="00C40048"/>
    <w:rsid w:val="00C40151"/>
    <w:rsid w:val="00C40323"/>
    <w:rsid w:val="00C414E2"/>
    <w:rsid w:val="00C41550"/>
    <w:rsid w:val="00C416C6"/>
    <w:rsid w:val="00C41B73"/>
    <w:rsid w:val="00C420EC"/>
    <w:rsid w:val="00C422F4"/>
    <w:rsid w:val="00C42EC3"/>
    <w:rsid w:val="00C4306F"/>
    <w:rsid w:val="00C43A97"/>
    <w:rsid w:val="00C43DC3"/>
    <w:rsid w:val="00C44236"/>
    <w:rsid w:val="00C442A0"/>
    <w:rsid w:val="00C44456"/>
    <w:rsid w:val="00C4450A"/>
    <w:rsid w:val="00C44838"/>
    <w:rsid w:val="00C44863"/>
    <w:rsid w:val="00C44C01"/>
    <w:rsid w:val="00C45B9A"/>
    <w:rsid w:val="00C45E1A"/>
    <w:rsid w:val="00C45E69"/>
    <w:rsid w:val="00C463B4"/>
    <w:rsid w:val="00C468B3"/>
    <w:rsid w:val="00C46E4C"/>
    <w:rsid w:val="00C46FB5"/>
    <w:rsid w:val="00C47058"/>
    <w:rsid w:val="00C513DA"/>
    <w:rsid w:val="00C519D8"/>
    <w:rsid w:val="00C51EDE"/>
    <w:rsid w:val="00C526CE"/>
    <w:rsid w:val="00C5279B"/>
    <w:rsid w:val="00C527CC"/>
    <w:rsid w:val="00C52FC4"/>
    <w:rsid w:val="00C53151"/>
    <w:rsid w:val="00C5346F"/>
    <w:rsid w:val="00C53964"/>
    <w:rsid w:val="00C53B63"/>
    <w:rsid w:val="00C54DDD"/>
    <w:rsid w:val="00C54E5A"/>
    <w:rsid w:val="00C54EC6"/>
    <w:rsid w:val="00C54FE0"/>
    <w:rsid w:val="00C55D64"/>
    <w:rsid w:val="00C56F59"/>
    <w:rsid w:val="00C57FE8"/>
    <w:rsid w:val="00C60408"/>
    <w:rsid w:val="00C60DCC"/>
    <w:rsid w:val="00C6109D"/>
    <w:rsid w:val="00C61422"/>
    <w:rsid w:val="00C61979"/>
    <w:rsid w:val="00C61ED2"/>
    <w:rsid w:val="00C6262F"/>
    <w:rsid w:val="00C627A2"/>
    <w:rsid w:val="00C630DC"/>
    <w:rsid w:val="00C638AA"/>
    <w:rsid w:val="00C63A84"/>
    <w:rsid w:val="00C63C33"/>
    <w:rsid w:val="00C63F54"/>
    <w:rsid w:val="00C64FEA"/>
    <w:rsid w:val="00C65495"/>
    <w:rsid w:val="00C654B8"/>
    <w:rsid w:val="00C6553F"/>
    <w:rsid w:val="00C65C50"/>
    <w:rsid w:val="00C65E43"/>
    <w:rsid w:val="00C66BFA"/>
    <w:rsid w:val="00C67AED"/>
    <w:rsid w:val="00C700E3"/>
    <w:rsid w:val="00C70496"/>
    <w:rsid w:val="00C70A35"/>
    <w:rsid w:val="00C70DF0"/>
    <w:rsid w:val="00C71433"/>
    <w:rsid w:val="00C71E5F"/>
    <w:rsid w:val="00C71EC2"/>
    <w:rsid w:val="00C7238B"/>
    <w:rsid w:val="00C725A2"/>
    <w:rsid w:val="00C726BF"/>
    <w:rsid w:val="00C72B5E"/>
    <w:rsid w:val="00C7316B"/>
    <w:rsid w:val="00C733A5"/>
    <w:rsid w:val="00C7384A"/>
    <w:rsid w:val="00C73904"/>
    <w:rsid w:val="00C73AC1"/>
    <w:rsid w:val="00C74051"/>
    <w:rsid w:val="00C7470A"/>
    <w:rsid w:val="00C7496E"/>
    <w:rsid w:val="00C74AFA"/>
    <w:rsid w:val="00C75285"/>
    <w:rsid w:val="00C7554E"/>
    <w:rsid w:val="00C76368"/>
    <w:rsid w:val="00C76557"/>
    <w:rsid w:val="00C7674A"/>
    <w:rsid w:val="00C77781"/>
    <w:rsid w:val="00C80043"/>
    <w:rsid w:val="00C80146"/>
    <w:rsid w:val="00C808F0"/>
    <w:rsid w:val="00C80B31"/>
    <w:rsid w:val="00C80BBE"/>
    <w:rsid w:val="00C8124E"/>
    <w:rsid w:val="00C82C50"/>
    <w:rsid w:val="00C82FCF"/>
    <w:rsid w:val="00C836E3"/>
    <w:rsid w:val="00C83F7B"/>
    <w:rsid w:val="00C84261"/>
    <w:rsid w:val="00C847F7"/>
    <w:rsid w:val="00C84DE7"/>
    <w:rsid w:val="00C853D7"/>
    <w:rsid w:val="00C85754"/>
    <w:rsid w:val="00C85B04"/>
    <w:rsid w:val="00C85CE5"/>
    <w:rsid w:val="00C85D77"/>
    <w:rsid w:val="00C870A3"/>
    <w:rsid w:val="00C8785C"/>
    <w:rsid w:val="00C8786F"/>
    <w:rsid w:val="00C87A1C"/>
    <w:rsid w:val="00C87BA1"/>
    <w:rsid w:val="00C87C80"/>
    <w:rsid w:val="00C87EF8"/>
    <w:rsid w:val="00C87F20"/>
    <w:rsid w:val="00C90003"/>
    <w:rsid w:val="00C90557"/>
    <w:rsid w:val="00C91915"/>
    <w:rsid w:val="00C91DA3"/>
    <w:rsid w:val="00C921BA"/>
    <w:rsid w:val="00C9264A"/>
    <w:rsid w:val="00C92B35"/>
    <w:rsid w:val="00C92B60"/>
    <w:rsid w:val="00C92DBC"/>
    <w:rsid w:val="00C941F9"/>
    <w:rsid w:val="00C94691"/>
    <w:rsid w:val="00C95D54"/>
    <w:rsid w:val="00C9604C"/>
    <w:rsid w:val="00C9605A"/>
    <w:rsid w:val="00C96102"/>
    <w:rsid w:val="00C964A8"/>
    <w:rsid w:val="00C966ED"/>
    <w:rsid w:val="00C9686C"/>
    <w:rsid w:val="00C97508"/>
    <w:rsid w:val="00C97510"/>
    <w:rsid w:val="00CA0816"/>
    <w:rsid w:val="00CA150D"/>
    <w:rsid w:val="00CA1A2A"/>
    <w:rsid w:val="00CA28CF"/>
    <w:rsid w:val="00CA33CA"/>
    <w:rsid w:val="00CA362C"/>
    <w:rsid w:val="00CA3E96"/>
    <w:rsid w:val="00CA3EFE"/>
    <w:rsid w:val="00CA4DB6"/>
    <w:rsid w:val="00CA5C2B"/>
    <w:rsid w:val="00CA5C9E"/>
    <w:rsid w:val="00CA5D2E"/>
    <w:rsid w:val="00CA60F8"/>
    <w:rsid w:val="00CA628B"/>
    <w:rsid w:val="00CA649B"/>
    <w:rsid w:val="00CA67E9"/>
    <w:rsid w:val="00CA6F53"/>
    <w:rsid w:val="00CA7113"/>
    <w:rsid w:val="00CA751E"/>
    <w:rsid w:val="00CA7EEE"/>
    <w:rsid w:val="00CB00E5"/>
    <w:rsid w:val="00CB0B2B"/>
    <w:rsid w:val="00CB0BD5"/>
    <w:rsid w:val="00CB0EDB"/>
    <w:rsid w:val="00CB0FB1"/>
    <w:rsid w:val="00CB1116"/>
    <w:rsid w:val="00CB11D7"/>
    <w:rsid w:val="00CB1400"/>
    <w:rsid w:val="00CB243B"/>
    <w:rsid w:val="00CB264E"/>
    <w:rsid w:val="00CB2EA6"/>
    <w:rsid w:val="00CB347D"/>
    <w:rsid w:val="00CB36E3"/>
    <w:rsid w:val="00CB3B87"/>
    <w:rsid w:val="00CB3E2A"/>
    <w:rsid w:val="00CB400B"/>
    <w:rsid w:val="00CB42F1"/>
    <w:rsid w:val="00CB4874"/>
    <w:rsid w:val="00CB5640"/>
    <w:rsid w:val="00CB5735"/>
    <w:rsid w:val="00CB605A"/>
    <w:rsid w:val="00CB65C6"/>
    <w:rsid w:val="00CB6F35"/>
    <w:rsid w:val="00CB764D"/>
    <w:rsid w:val="00CB7651"/>
    <w:rsid w:val="00CB765F"/>
    <w:rsid w:val="00CB78E7"/>
    <w:rsid w:val="00CC062F"/>
    <w:rsid w:val="00CC0FC7"/>
    <w:rsid w:val="00CC10DA"/>
    <w:rsid w:val="00CC1BCA"/>
    <w:rsid w:val="00CC1D9C"/>
    <w:rsid w:val="00CC216F"/>
    <w:rsid w:val="00CC2885"/>
    <w:rsid w:val="00CC2E4D"/>
    <w:rsid w:val="00CC2ED4"/>
    <w:rsid w:val="00CC2FDE"/>
    <w:rsid w:val="00CC3146"/>
    <w:rsid w:val="00CC32F7"/>
    <w:rsid w:val="00CC3396"/>
    <w:rsid w:val="00CC3A5B"/>
    <w:rsid w:val="00CC3B67"/>
    <w:rsid w:val="00CC3C13"/>
    <w:rsid w:val="00CC4321"/>
    <w:rsid w:val="00CC4817"/>
    <w:rsid w:val="00CC4C05"/>
    <w:rsid w:val="00CC4C82"/>
    <w:rsid w:val="00CC503D"/>
    <w:rsid w:val="00CC553E"/>
    <w:rsid w:val="00CC639E"/>
    <w:rsid w:val="00CC6604"/>
    <w:rsid w:val="00CC7372"/>
    <w:rsid w:val="00CC7A13"/>
    <w:rsid w:val="00CC7AAC"/>
    <w:rsid w:val="00CC7E94"/>
    <w:rsid w:val="00CD0456"/>
    <w:rsid w:val="00CD0527"/>
    <w:rsid w:val="00CD1977"/>
    <w:rsid w:val="00CD1FEC"/>
    <w:rsid w:val="00CD2AEF"/>
    <w:rsid w:val="00CD2BB9"/>
    <w:rsid w:val="00CD2E7C"/>
    <w:rsid w:val="00CD32B2"/>
    <w:rsid w:val="00CD38AF"/>
    <w:rsid w:val="00CD3A91"/>
    <w:rsid w:val="00CD3B35"/>
    <w:rsid w:val="00CD3CDA"/>
    <w:rsid w:val="00CD3F01"/>
    <w:rsid w:val="00CD499E"/>
    <w:rsid w:val="00CD4F65"/>
    <w:rsid w:val="00CD53C1"/>
    <w:rsid w:val="00CD54C2"/>
    <w:rsid w:val="00CD793B"/>
    <w:rsid w:val="00CE02EE"/>
    <w:rsid w:val="00CE036F"/>
    <w:rsid w:val="00CE07F8"/>
    <w:rsid w:val="00CE0925"/>
    <w:rsid w:val="00CE128C"/>
    <w:rsid w:val="00CE1779"/>
    <w:rsid w:val="00CE1860"/>
    <w:rsid w:val="00CE1908"/>
    <w:rsid w:val="00CE1F43"/>
    <w:rsid w:val="00CE2452"/>
    <w:rsid w:val="00CE27FB"/>
    <w:rsid w:val="00CE29BF"/>
    <w:rsid w:val="00CE2E6A"/>
    <w:rsid w:val="00CE30E3"/>
    <w:rsid w:val="00CE3A4A"/>
    <w:rsid w:val="00CE3F17"/>
    <w:rsid w:val="00CE41AC"/>
    <w:rsid w:val="00CE4BDA"/>
    <w:rsid w:val="00CE4DB6"/>
    <w:rsid w:val="00CE54A7"/>
    <w:rsid w:val="00CE55A3"/>
    <w:rsid w:val="00CE5BC5"/>
    <w:rsid w:val="00CE609C"/>
    <w:rsid w:val="00CE60C8"/>
    <w:rsid w:val="00CE66F1"/>
    <w:rsid w:val="00CE74A6"/>
    <w:rsid w:val="00CE75BC"/>
    <w:rsid w:val="00CE76AB"/>
    <w:rsid w:val="00CE7996"/>
    <w:rsid w:val="00CE79A4"/>
    <w:rsid w:val="00CE7B3B"/>
    <w:rsid w:val="00CF067A"/>
    <w:rsid w:val="00CF0D7F"/>
    <w:rsid w:val="00CF1246"/>
    <w:rsid w:val="00CF1360"/>
    <w:rsid w:val="00CF17AA"/>
    <w:rsid w:val="00CF17CB"/>
    <w:rsid w:val="00CF1DF4"/>
    <w:rsid w:val="00CF30A7"/>
    <w:rsid w:val="00CF37D2"/>
    <w:rsid w:val="00CF3BC5"/>
    <w:rsid w:val="00CF4A47"/>
    <w:rsid w:val="00CF4D21"/>
    <w:rsid w:val="00CF549B"/>
    <w:rsid w:val="00CF5792"/>
    <w:rsid w:val="00CF5CDB"/>
    <w:rsid w:val="00CF61B8"/>
    <w:rsid w:val="00CF7142"/>
    <w:rsid w:val="00CF7185"/>
    <w:rsid w:val="00CF7267"/>
    <w:rsid w:val="00CF78ED"/>
    <w:rsid w:val="00D00C81"/>
    <w:rsid w:val="00D00E19"/>
    <w:rsid w:val="00D010AA"/>
    <w:rsid w:val="00D0126E"/>
    <w:rsid w:val="00D019ED"/>
    <w:rsid w:val="00D01B3A"/>
    <w:rsid w:val="00D01BAA"/>
    <w:rsid w:val="00D01FB6"/>
    <w:rsid w:val="00D02BD9"/>
    <w:rsid w:val="00D02C11"/>
    <w:rsid w:val="00D0375F"/>
    <w:rsid w:val="00D0392B"/>
    <w:rsid w:val="00D03C9C"/>
    <w:rsid w:val="00D03E9E"/>
    <w:rsid w:val="00D041D7"/>
    <w:rsid w:val="00D0553A"/>
    <w:rsid w:val="00D05634"/>
    <w:rsid w:val="00D05A18"/>
    <w:rsid w:val="00D05CDB"/>
    <w:rsid w:val="00D060BB"/>
    <w:rsid w:val="00D0660D"/>
    <w:rsid w:val="00D06CF0"/>
    <w:rsid w:val="00D0751A"/>
    <w:rsid w:val="00D07656"/>
    <w:rsid w:val="00D10DBB"/>
    <w:rsid w:val="00D115BD"/>
    <w:rsid w:val="00D115D5"/>
    <w:rsid w:val="00D117CB"/>
    <w:rsid w:val="00D11893"/>
    <w:rsid w:val="00D1225C"/>
    <w:rsid w:val="00D122DC"/>
    <w:rsid w:val="00D12C86"/>
    <w:rsid w:val="00D13259"/>
    <w:rsid w:val="00D13C59"/>
    <w:rsid w:val="00D141E4"/>
    <w:rsid w:val="00D14250"/>
    <w:rsid w:val="00D15075"/>
    <w:rsid w:val="00D15AA3"/>
    <w:rsid w:val="00D15FCD"/>
    <w:rsid w:val="00D170C4"/>
    <w:rsid w:val="00D17FAE"/>
    <w:rsid w:val="00D20C50"/>
    <w:rsid w:val="00D211CF"/>
    <w:rsid w:val="00D21352"/>
    <w:rsid w:val="00D218D6"/>
    <w:rsid w:val="00D21E52"/>
    <w:rsid w:val="00D228E1"/>
    <w:rsid w:val="00D22DEA"/>
    <w:rsid w:val="00D2301C"/>
    <w:rsid w:val="00D23E4F"/>
    <w:rsid w:val="00D24053"/>
    <w:rsid w:val="00D24CB3"/>
    <w:rsid w:val="00D257D6"/>
    <w:rsid w:val="00D261D8"/>
    <w:rsid w:val="00D26239"/>
    <w:rsid w:val="00D26EB8"/>
    <w:rsid w:val="00D27093"/>
    <w:rsid w:val="00D271AF"/>
    <w:rsid w:val="00D272B3"/>
    <w:rsid w:val="00D27A25"/>
    <w:rsid w:val="00D27F1E"/>
    <w:rsid w:val="00D30095"/>
    <w:rsid w:val="00D301CE"/>
    <w:rsid w:val="00D30441"/>
    <w:rsid w:val="00D31443"/>
    <w:rsid w:val="00D31763"/>
    <w:rsid w:val="00D32061"/>
    <w:rsid w:val="00D32136"/>
    <w:rsid w:val="00D327BA"/>
    <w:rsid w:val="00D3338A"/>
    <w:rsid w:val="00D3354E"/>
    <w:rsid w:val="00D3383A"/>
    <w:rsid w:val="00D33C5C"/>
    <w:rsid w:val="00D348F2"/>
    <w:rsid w:val="00D34A33"/>
    <w:rsid w:val="00D34B0D"/>
    <w:rsid w:val="00D34D6B"/>
    <w:rsid w:val="00D3529C"/>
    <w:rsid w:val="00D356CE"/>
    <w:rsid w:val="00D35BC3"/>
    <w:rsid w:val="00D360D6"/>
    <w:rsid w:val="00D36398"/>
    <w:rsid w:val="00D36D9F"/>
    <w:rsid w:val="00D3740D"/>
    <w:rsid w:val="00D375DA"/>
    <w:rsid w:val="00D378FC"/>
    <w:rsid w:val="00D37907"/>
    <w:rsid w:val="00D37AFE"/>
    <w:rsid w:val="00D37F89"/>
    <w:rsid w:val="00D405CA"/>
    <w:rsid w:val="00D40962"/>
    <w:rsid w:val="00D40BD3"/>
    <w:rsid w:val="00D41205"/>
    <w:rsid w:val="00D426C5"/>
    <w:rsid w:val="00D42D87"/>
    <w:rsid w:val="00D4314B"/>
    <w:rsid w:val="00D43231"/>
    <w:rsid w:val="00D43251"/>
    <w:rsid w:val="00D434B7"/>
    <w:rsid w:val="00D43714"/>
    <w:rsid w:val="00D438E7"/>
    <w:rsid w:val="00D43A46"/>
    <w:rsid w:val="00D43F66"/>
    <w:rsid w:val="00D4426F"/>
    <w:rsid w:val="00D4431D"/>
    <w:rsid w:val="00D45B72"/>
    <w:rsid w:val="00D45C58"/>
    <w:rsid w:val="00D45D84"/>
    <w:rsid w:val="00D46326"/>
    <w:rsid w:val="00D4632D"/>
    <w:rsid w:val="00D4688C"/>
    <w:rsid w:val="00D47537"/>
    <w:rsid w:val="00D476BF"/>
    <w:rsid w:val="00D47EC9"/>
    <w:rsid w:val="00D5008B"/>
    <w:rsid w:val="00D50AAE"/>
    <w:rsid w:val="00D51AE9"/>
    <w:rsid w:val="00D51E2D"/>
    <w:rsid w:val="00D524A3"/>
    <w:rsid w:val="00D529C8"/>
    <w:rsid w:val="00D52AEC"/>
    <w:rsid w:val="00D53AF3"/>
    <w:rsid w:val="00D53C5B"/>
    <w:rsid w:val="00D53F47"/>
    <w:rsid w:val="00D54944"/>
    <w:rsid w:val="00D54B07"/>
    <w:rsid w:val="00D55B98"/>
    <w:rsid w:val="00D55F36"/>
    <w:rsid w:val="00D563E7"/>
    <w:rsid w:val="00D57FCE"/>
    <w:rsid w:val="00D602BE"/>
    <w:rsid w:val="00D60434"/>
    <w:rsid w:val="00D605F5"/>
    <w:rsid w:val="00D6083C"/>
    <w:rsid w:val="00D60AAE"/>
    <w:rsid w:val="00D61405"/>
    <w:rsid w:val="00D61AC5"/>
    <w:rsid w:val="00D61FFC"/>
    <w:rsid w:val="00D62E07"/>
    <w:rsid w:val="00D6316B"/>
    <w:rsid w:val="00D63427"/>
    <w:rsid w:val="00D63542"/>
    <w:rsid w:val="00D636D2"/>
    <w:rsid w:val="00D63D16"/>
    <w:rsid w:val="00D63E97"/>
    <w:rsid w:val="00D63F0F"/>
    <w:rsid w:val="00D64107"/>
    <w:rsid w:val="00D641B8"/>
    <w:rsid w:val="00D64F50"/>
    <w:rsid w:val="00D65C43"/>
    <w:rsid w:val="00D65F4C"/>
    <w:rsid w:val="00D65FDD"/>
    <w:rsid w:val="00D66009"/>
    <w:rsid w:val="00D66460"/>
    <w:rsid w:val="00D664EA"/>
    <w:rsid w:val="00D66B9D"/>
    <w:rsid w:val="00D66E84"/>
    <w:rsid w:val="00D67BEF"/>
    <w:rsid w:val="00D67C5C"/>
    <w:rsid w:val="00D70401"/>
    <w:rsid w:val="00D7076A"/>
    <w:rsid w:val="00D7167B"/>
    <w:rsid w:val="00D71D7D"/>
    <w:rsid w:val="00D721C0"/>
    <w:rsid w:val="00D726E4"/>
    <w:rsid w:val="00D72D3D"/>
    <w:rsid w:val="00D72F54"/>
    <w:rsid w:val="00D73EA3"/>
    <w:rsid w:val="00D74E6E"/>
    <w:rsid w:val="00D75B48"/>
    <w:rsid w:val="00D7690A"/>
    <w:rsid w:val="00D77125"/>
    <w:rsid w:val="00D7755F"/>
    <w:rsid w:val="00D77ACE"/>
    <w:rsid w:val="00D8047E"/>
    <w:rsid w:val="00D80A98"/>
    <w:rsid w:val="00D80B15"/>
    <w:rsid w:val="00D80D46"/>
    <w:rsid w:val="00D81554"/>
    <w:rsid w:val="00D8168B"/>
    <w:rsid w:val="00D8283D"/>
    <w:rsid w:val="00D82B22"/>
    <w:rsid w:val="00D82CB7"/>
    <w:rsid w:val="00D82D69"/>
    <w:rsid w:val="00D84EDD"/>
    <w:rsid w:val="00D85C0A"/>
    <w:rsid w:val="00D865D5"/>
    <w:rsid w:val="00D86C50"/>
    <w:rsid w:val="00D87171"/>
    <w:rsid w:val="00D87196"/>
    <w:rsid w:val="00D87F42"/>
    <w:rsid w:val="00D9000F"/>
    <w:rsid w:val="00D912BC"/>
    <w:rsid w:val="00D929DF"/>
    <w:rsid w:val="00D92F70"/>
    <w:rsid w:val="00D931ED"/>
    <w:rsid w:val="00D93608"/>
    <w:rsid w:val="00D9397F"/>
    <w:rsid w:val="00D93F21"/>
    <w:rsid w:val="00D94B43"/>
    <w:rsid w:val="00D95A65"/>
    <w:rsid w:val="00D95C5F"/>
    <w:rsid w:val="00D96022"/>
    <w:rsid w:val="00D9726A"/>
    <w:rsid w:val="00D972CE"/>
    <w:rsid w:val="00D9746F"/>
    <w:rsid w:val="00DA0596"/>
    <w:rsid w:val="00DA099A"/>
    <w:rsid w:val="00DA0CEF"/>
    <w:rsid w:val="00DA1E15"/>
    <w:rsid w:val="00DA3602"/>
    <w:rsid w:val="00DA3D49"/>
    <w:rsid w:val="00DA3F7F"/>
    <w:rsid w:val="00DA42A0"/>
    <w:rsid w:val="00DA4E89"/>
    <w:rsid w:val="00DA6272"/>
    <w:rsid w:val="00DA7293"/>
    <w:rsid w:val="00DA7FDF"/>
    <w:rsid w:val="00DB0C39"/>
    <w:rsid w:val="00DB13E2"/>
    <w:rsid w:val="00DB14EC"/>
    <w:rsid w:val="00DB1A5E"/>
    <w:rsid w:val="00DB1E2C"/>
    <w:rsid w:val="00DB2580"/>
    <w:rsid w:val="00DB262F"/>
    <w:rsid w:val="00DB26A2"/>
    <w:rsid w:val="00DB29F1"/>
    <w:rsid w:val="00DB34C0"/>
    <w:rsid w:val="00DB35FE"/>
    <w:rsid w:val="00DB3DFE"/>
    <w:rsid w:val="00DB471A"/>
    <w:rsid w:val="00DB482C"/>
    <w:rsid w:val="00DB5614"/>
    <w:rsid w:val="00DB5EF9"/>
    <w:rsid w:val="00DB646E"/>
    <w:rsid w:val="00DB656E"/>
    <w:rsid w:val="00DB680F"/>
    <w:rsid w:val="00DB7537"/>
    <w:rsid w:val="00DB7A02"/>
    <w:rsid w:val="00DC02FF"/>
    <w:rsid w:val="00DC0B10"/>
    <w:rsid w:val="00DC0C42"/>
    <w:rsid w:val="00DC1C0F"/>
    <w:rsid w:val="00DC34CF"/>
    <w:rsid w:val="00DC3805"/>
    <w:rsid w:val="00DC3B56"/>
    <w:rsid w:val="00DC3C6B"/>
    <w:rsid w:val="00DC3F40"/>
    <w:rsid w:val="00DC41B6"/>
    <w:rsid w:val="00DC48BE"/>
    <w:rsid w:val="00DC4BBA"/>
    <w:rsid w:val="00DC4C94"/>
    <w:rsid w:val="00DC4DC4"/>
    <w:rsid w:val="00DC5351"/>
    <w:rsid w:val="00DC5874"/>
    <w:rsid w:val="00DC5A2C"/>
    <w:rsid w:val="00DC5C1E"/>
    <w:rsid w:val="00DC5F31"/>
    <w:rsid w:val="00DC6562"/>
    <w:rsid w:val="00DC6CB6"/>
    <w:rsid w:val="00DC7799"/>
    <w:rsid w:val="00DC7D37"/>
    <w:rsid w:val="00DD007C"/>
    <w:rsid w:val="00DD01BA"/>
    <w:rsid w:val="00DD0A49"/>
    <w:rsid w:val="00DD0B69"/>
    <w:rsid w:val="00DD0CFB"/>
    <w:rsid w:val="00DD11B4"/>
    <w:rsid w:val="00DD15DC"/>
    <w:rsid w:val="00DD18A1"/>
    <w:rsid w:val="00DD1EDD"/>
    <w:rsid w:val="00DD238E"/>
    <w:rsid w:val="00DD23D1"/>
    <w:rsid w:val="00DD2438"/>
    <w:rsid w:val="00DD360F"/>
    <w:rsid w:val="00DD3978"/>
    <w:rsid w:val="00DD4774"/>
    <w:rsid w:val="00DD5810"/>
    <w:rsid w:val="00DD5956"/>
    <w:rsid w:val="00DD63C8"/>
    <w:rsid w:val="00DD6657"/>
    <w:rsid w:val="00DD6953"/>
    <w:rsid w:val="00DD6AD3"/>
    <w:rsid w:val="00DD6E8D"/>
    <w:rsid w:val="00DD6E92"/>
    <w:rsid w:val="00DD6EB9"/>
    <w:rsid w:val="00DD6FEF"/>
    <w:rsid w:val="00DD74B6"/>
    <w:rsid w:val="00DD74E7"/>
    <w:rsid w:val="00DD7E4A"/>
    <w:rsid w:val="00DE1469"/>
    <w:rsid w:val="00DE16D1"/>
    <w:rsid w:val="00DE1D3B"/>
    <w:rsid w:val="00DE254F"/>
    <w:rsid w:val="00DE2B88"/>
    <w:rsid w:val="00DE3808"/>
    <w:rsid w:val="00DE42D1"/>
    <w:rsid w:val="00DE436D"/>
    <w:rsid w:val="00DE45B0"/>
    <w:rsid w:val="00DE484B"/>
    <w:rsid w:val="00DE4DB6"/>
    <w:rsid w:val="00DE4FE8"/>
    <w:rsid w:val="00DE50E3"/>
    <w:rsid w:val="00DE53FB"/>
    <w:rsid w:val="00DE594A"/>
    <w:rsid w:val="00DE596A"/>
    <w:rsid w:val="00DE5CDC"/>
    <w:rsid w:val="00DE5EFB"/>
    <w:rsid w:val="00DE66AE"/>
    <w:rsid w:val="00DE78DF"/>
    <w:rsid w:val="00DE79C0"/>
    <w:rsid w:val="00DE79CD"/>
    <w:rsid w:val="00DF0373"/>
    <w:rsid w:val="00DF0656"/>
    <w:rsid w:val="00DF0C2E"/>
    <w:rsid w:val="00DF11A3"/>
    <w:rsid w:val="00DF1500"/>
    <w:rsid w:val="00DF182A"/>
    <w:rsid w:val="00DF1F13"/>
    <w:rsid w:val="00DF287E"/>
    <w:rsid w:val="00DF2EA9"/>
    <w:rsid w:val="00DF3323"/>
    <w:rsid w:val="00DF3D8F"/>
    <w:rsid w:val="00DF4731"/>
    <w:rsid w:val="00DF5A16"/>
    <w:rsid w:val="00DF5B00"/>
    <w:rsid w:val="00DF5B68"/>
    <w:rsid w:val="00DF6089"/>
    <w:rsid w:val="00DF63F3"/>
    <w:rsid w:val="00DF6CE6"/>
    <w:rsid w:val="00DF6D2B"/>
    <w:rsid w:val="00DF76DF"/>
    <w:rsid w:val="00DF7728"/>
    <w:rsid w:val="00DF7873"/>
    <w:rsid w:val="00DF7C4D"/>
    <w:rsid w:val="00DF7C6B"/>
    <w:rsid w:val="00DF7CB2"/>
    <w:rsid w:val="00DF7FE5"/>
    <w:rsid w:val="00E00A5B"/>
    <w:rsid w:val="00E015D2"/>
    <w:rsid w:val="00E0170D"/>
    <w:rsid w:val="00E01869"/>
    <w:rsid w:val="00E01978"/>
    <w:rsid w:val="00E029A4"/>
    <w:rsid w:val="00E0346D"/>
    <w:rsid w:val="00E034CA"/>
    <w:rsid w:val="00E03A1B"/>
    <w:rsid w:val="00E04082"/>
    <w:rsid w:val="00E0414B"/>
    <w:rsid w:val="00E041FF"/>
    <w:rsid w:val="00E0422F"/>
    <w:rsid w:val="00E04656"/>
    <w:rsid w:val="00E04B78"/>
    <w:rsid w:val="00E052FB"/>
    <w:rsid w:val="00E064AF"/>
    <w:rsid w:val="00E06E87"/>
    <w:rsid w:val="00E070B6"/>
    <w:rsid w:val="00E07AAA"/>
    <w:rsid w:val="00E07DBE"/>
    <w:rsid w:val="00E100A3"/>
    <w:rsid w:val="00E1105A"/>
    <w:rsid w:val="00E11D69"/>
    <w:rsid w:val="00E11E0D"/>
    <w:rsid w:val="00E12113"/>
    <w:rsid w:val="00E12B42"/>
    <w:rsid w:val="00E13973"/>
    <w:rsid w:val="00E1411C"/>
    <w:rsid w:val="00E1478C"/>
    <w:rsid w:val="00E14C38"/>
    <w:rsid w:val="00E14E9B"/>
    <w:rsid w:val="00E15072"/>
    <w:rsid w:val="00E15B3F"/>
    <w:rsid w:val="00E164B5"/>
    <w:rsid w:val="00E16A1C"/>
    <w:rsid w:val="00E17518"/>
    <w:rsid w:val="00E2065C"/>
    <w:rsid w:val="00E20B9B"/>
    <w:rsid w:val="00E2133C"/>
    <w:rsid w:val="00E219D1"/>
    <w:rsid w:val="00E21E8A"/>
    <w:rsid w:val="00E2215E"/>
    <w:rsid w:val="00E22805"/>
    <w:rsid w:val="00E233FB"/>
    <w:rsid w:val="00E243C3"/>
    <w:rsid w:val="00E24428"/>
    <w:rsid w:val="00E24506"/>
    <w:rsid w:val="00E247A0"/>
    <w:rsid w:val="00E24B12"/>
    <w:rsid w:val="00E25036"/>
    <w:rsid w:val="00E2506F"/>
    <w:rsid w:val="00E257FA"/>
    <w:rsid w:val="00E25998"/>
    <w:rsid w:val="00E261FE"/>
    <w:rsid w:val="00E26F3D"/>
    <w:rsid w:val="00E27144"/>
    <w:rsid w:val="00E2751A"/>
    <w:rsid w:val="00E31361"/>
    <w:rsid w:val="00E31662"/>
    <w:rsid w:val="00E31667"/>
    <w:rsid w:val="00E318ED"/>
    <w:rsid w:val="00E31DC2"/>
    <w:rsid w:val="00E31EDD"/>
    <w:rsid w:val="00E320C2"/>
    <w:rsid w:val="00E32588"/>
    <w:rsid w:val="00E32667"/>
    <w:rsid w:val="00E3296A"/>
    <w:rsid w:val="00E33392"/>
    <w:rsid w:val="00E33739"/>
    <w:rsid w:val="00E33D07"/>
    <w:rsid w:val="00E33F44"/>
    <w:rsid w:val="00E34388"/>
    <w:rsid w:val="00E349BA"/>
    <w:rsid w:val="00E34C13"/>
    <w:rsid w:val="00E3518A"/>
    <w:rsid w:val="00E3519B"/>
    <w:rsid w:val="00E35457"/>
    <w:rsid w:val="00E358CE"/>
    <w:rsid w:val="00E35A71"/>
    <w:rsid w:val="00E360AB"/>
    <w:rsid w:val="00E36AA8"/>
    <w:rsid w:val="00E3701E"/>
    <w:rsid w:val="00E37A75"/>
    <w:rsid w:val="00E37FE8"/>
    <w:rsid w:val="00E40145"/>
    <w:rsid w:val="00E4051B"/>
    <w:rsid w:val="00E4079D"/>
    <w:rsid w:val="00E40806"/>
    <w:rsid w:val="00E40AB0"/>
    <w:rsid w:val="00E40CD4"/>
    <w:rsid w:val="00E40FD0"/>
    <w:rsid w:val="00E41448"/>
    <w:rsid w:val="00E4182D"/>
    <w:rsid w:val="00E41896"/>
    <w:rsid w:val="00E41AEE"/>
    <w:rsid w:val="00E41F4F"/>
    <w:rsid w:val="00E42899"/>
    <w:rsid w:val="00E42C9F"/>
    <w:rsid w:val="00E4346E"/>
    <w:rsid w:val="00E4364C"/>
    <w:rsid w:val="00E438A2"/>
    <w:rsid w:val="00E4413B"/>
    <w:rsid w:val="00E44418"/>
    <w:rsid w:val="00E44E87"/>
    <w:rsid w:val="00E44F49"/>
    <w:rsid w:val="00E45455"/>
    <w:rsid w:val="00E45774"/>
    <w:rsid w:val="00E457E1"/>
    <w:rsid w:val="00E458F1"/>
    <w:rsid w:val="00E45A56"/>
    <w:rsid w:val="00E45BED"/>
    <w:rsid w:val="00E45ED3"/>
    <w:rsid w:val="00E468A8"/>
    <w:rsid w:val="00E46A1B"/>
    <w:rsid w:val="00E46F5B"/>
    <w:rsid w:val="00E4726A"/>
    <w:rsid w:val="00E475C1"/>
    <w:rsid w:val="00E47635"/>
    <w:rsid w:val="00E47DE1"/>
    <w:rsid w:val="00E503B1"/>
    <w:rsid w:val="00E51566"/>
    <w:rsid w:val="00E5193B"/>
    <w:rsid w:val="00E52F1E"/>
    <w:rsid w:val="00E53874"/>
    <w:rsid w:val="00E5394D"/>
    <w:rsid w:val="00E53BD6"/>
    <w:rsid w:val="00E53D20"/>
    <w:rsid w:val="00E54124"/>
    <w:rsid w:val="00E543F6"/>
    <w:rsid w:val="00E54780"/>
    <w:rsid w:val="00E54A92"/>
    <w:rsid w:val="00E54A9A"/>
    <w:rsid w:val="00E55077"/>
    <w:rsid w:val="00E5640B"/>
    <w:rsid w:val="00E569A9"/>
    <w:rsid w:val="00E56B5C"/>
    <w:rsid w:val="00E570F0"/>
    <w:rsid w:val="00E57B19"/>
    <w:rsid w:val="00E60144"/>
    <w:rsid w:val="00E603AA"/>
    <w:rsid w:val="00E6089E"/>
    <w:rsid w:val="00E61236"/>
    <w:rsid w:val="00E61D0B"/>
    <w:rsid w:val="00E6208A"/>
    <w:rsid w:val="00E623AA"/>
    <w:rsid w:val="00E62703"/>
    <w:rsid w:val="00E63068"/>
    <w:rsid w:val="00E632F6"/>
    <w:rsid w:val="00E63393"/>
    <w:rsid w:val="00E635F7"/>
    <w:rsid w:val="00E639EC"/>
    <w:rsid w:val="00E63A6F"/>
    <w:rsid w:val="00E63B0A"/>
    <w:rsid w:val="00E63E11"/>
    <w:rsid w:val="00E6508E"/>
    <w:rsid w:val="00E65DE3"/>
    <w:rsid w:val="00E67793"/>
    <w:rsid w:val="00E67D97"/>
    <w:rsid w:val="00E70510"/>
    <w:rsid w:val="00E720CE"/>
    <w:rsid w:val="00E721F2"/>
    <w:rsid w:val="00E73B79"/>
    <w:rsid w:val="00E73C27"/>
    <w:rsid w:val="00E73C4C"/>
    <w:rsid w:val="00E7427C"/>
    <w:rsid w:val="00E746EF"/>
    <w:rsid w:val="00E74902"/>
    <w:rsid w:val="00E74C67"/>
    <w:rsid w:val="00E74E58"/>
    <w:rsid w:val="00E74EA8"/>
    <w:rsid w:val="00E750C5"/>
    <w:rsid w:val="00E753A1"/>
    <w:rsid w:val="00E762FB"/>
    <w:rsid w:val="00E7667D"/>
    <w:rsid w:val="00E76C36"/>
    <w:rsid w:val="00E76E73"/>
    <w:rsid w:val="00E77B05"/>
    <w:rsid w:val="00E8000E"/>
    <w:rsid w:val="00E80186"/>
    <w:rsid w:val="00E80225"/>
    <w:rsid w:val="00E804E0"/>
    <w:rsid w:val="00E80643"/>
    <w:rsid w:val="00E8174E"/>
    <w:rsid w:val="00E81B71"/>
    <w:rsid w:val="00E81D01"/>
    <w:rsid w:val="00E82E01"/>
    <w:rsid w:val="00E833C0"/>
    <w:rsid w:val="00E835E0"/>
    <w:rsid w:val="00E843C2"/>
    <w:rsid w:val="00E8456D"/>
    <w:rsid w:val="00E846BE"/>
    <w:rsid w:val="00E84C6F"/>
    <w:rsid w:val="00E8538D"/>
    <w:rsid w:val="00E85535"/>
    <w:rsid w:val="00E85ECE"/>
    <w:rsid w:val="00E85F51"/>
    <w:rsid w:val="00E86072"/>
    <w:rsid w:val="00E86287"/>
    <w:rsid w:val="00E86295"/>
    <w:rsid w:val="00E86C00"/>
    <w:rsid w:val="00E86ED5"/>
    <w:rsid w:val="00E8729D"/>
    <w:rsid w:val="00E873C5"/>
    <w:rsid w:val="00E87410"/>
    <w:rsid w:val="00E87CA6"/>
    <w:rsid w:val="00E90179"/>
    <w:rsid w:val="00E90367"/>
    <w:rsid w:val="00E90CDA"/>
    <w:rsid w:val="00E90CE0"/>
    <w:rsid w:val="00E918A7"/>
    <w:rsid w:val="00E9198C"/>
    <w:rsid w:val="00E91B45"/>
    <w:rsid w:val="00E92433"/>
    <w:rsid w:val="00E926BF"/>
    <w:rsid w:val="00E926D7"/>
    <w:rsid w:val="00E92E9A"/>
    <w:rsid w:val="00E92F7E"/>
    <w:rsid w:val="00E9301C"/>
    <w:rsid w:val="00E93749"/>
    <w:rsid w:val="00E93D48"/>
    <w:rsid w:val="00E93DEF"/>
    <w:rsid w:val="00E945E6"/>
    <w:rsid w:val="00E957CA"/>
    <w:rsid w:val="00E96146"/>
    <w:rsid w:val="00E9651E"/>
    <w:rsid w:val="00E973EB"/>
    <w:rsid w:val="00E97679"/>
    <w:rsid w:val="00E977EA"/>
    <w:rsid w:val="00E97AD2"/>
    <w:rsid w:val="00E97DBB"/>
    <w:rsid w:val="00EA0221"/>
    <w:rsid w:val="00EA050B"/>
    <w:rsid w:val="00EA14D6"/>
    <w:rsid w:val="00EA1B1D"/>
    <w:rsid w:val="00EA1F7A"/>
    <w:rsid w:val="00EA20E7"/>
    <w:rsid w:val="00EA2232"/>
    <w:rsid w:val="00EA2A73"/>
    <w:rsid w:val="00EA2D7A"/>
    <w:rsid w:val="00EA3196"/>
    <w:rsid w:val="00EA3453"/>
    <w:rsid w:val="00EA35BB"/>
    <w:rsid w:val="00EA37B5"/>
    <w:rsid w:val="00EA3929"/>
    <w:rsid w:val="00EA39BA"/>
    <w:rsid w:val="00EA3BB5"/>
    <w:rsid w:val="00EA3BCD"/>
    <w:rsid w:val="00EA3BF9"/>
    <w:rsid w:val="00EA3E47"/>
    <w:rsid w:val="00EA4474"/>
    <w:rsid w:val="00EA4A75"/>
    <w:rsid w:val="00EA544A"/>
    <w:rsid w:val="00EA5841"/>
    <w:rsid w:val="00EA587D"/>
    <w:rsid w:val="00EA5E47"/>
    <w:rsid w:val="00EA606B"/>
    <w:rsid w:val="00EA671A"/>
    <w:rsid w:val="00EA68D5"/>
    <w:rsid w:val="00EA6B2B"/>
    <w:rsid w:val="00EA6CAA"/>
    <w:rsid w:val="00EA6D4E"/>
    <w:rsid w:val="00EA6DDA"/>
    <w:rsid w:val="00EA7A64"/>
    <w:rsid w:val="00EB0ACC"/>
    <w:rsid w:val="00EB1014"/>
    <w:rsid w:val="00EB2EC7"/>
    <w:rsid w:val="00EB2F30"/>
    <w:rsid w:val="00EB3161"/>
    <w:rsid w:val="00EB352E"/>
    <w:rsid w:val="00EB3CCE"/>
    <w:rsid w:val="00EB3D3D"/>
    <w:rsid w:val="00EB429F"/>
    <w:rsid w:val="00EB469D"/>
    <w:rsid w:val="00EB46ED"/>
    <w:rsid w:val="00EB4F73"/>
    <w:rsid w:val="00EB54E1"/>
    <w:rsid w:val="00EB5577"/>
    <w:rsid w:val="00EB566E"/>
    <w:rsid w:val="00EB6169"/>
    <w:rsid w:val="00EB76E2"/>
    <w:rsid w:val="00EB7703"/>
    <w:rsid w:val="00EB7A0E"/>
    <w:rsid w:val="00EC0F25"/>
    <w:rsid w:val="00EC128D"/>
    <w:rsid w:val="00EC16FA"/>
    <w:rsid w:val="00EC1AAC"/>
    <w:rsid w:val="00EC2282"/>
    <w:rsid w:val="00EC2587"/>
    <w:rsid w:val="00EC30E4"/>
    <w:rsid w:val="00EC34BD"/>
    <w:rsid w:val="00EC3A2B"/>
    <w:rsid w:val="00EC3B80"/>
    <w:rsid w:val="00EC3FD6"/>
    <w:rsid w:val="00EC453B"/>
    <w:rsid w:val="00EC4FEA"/>
    <w:rsid w:val="00EC5108"/>
    <w:rsid w:val="00EC5470"/>
    <w:rsid w:val="00EC5B9F"/>
    <w:rsid w:val="00EC61CF"/>
    <w:rsid w:val="00EC6387"/>
    <w:rsid w:val="00EC642A"/>
    <w:rsid w:val="00EC6D6A"/>
    <w:rsid w:val="00EC6FB0"/>
    <w:rsid w:val="00EC726C"/>
    <w:rsid w:val="00EC7C46"/>
    <w:rsid w:val="00ED0186"/>
    <w:rsid w:val="00ED031D"/>
    <w:rsid w:val="00ED073D"/>
    <w:rsid w:val="00ED0870"/>
    <w:rsid w:val="00ED0C00"/>
    <w:rsid w:val="00ED0E15"/>
    <w:rsid w:val="00ED25BE"/>
    <w:rsid w:val="00ED27E6"/>
    <w:rsid w:val="00ED2961"/>
    <w:rsid w:val="00ED32EF"/>
    <w:rsid w:val="00ED3591"/>
    <w:rsid w:val="00ED432E"/>
    <w:rsid w:val="00ED46C9"/>
    <w:rsid w:val="00ED4745"/>
    <w:rsid w:val="00ED4F3D"/>
    <w:rsid w:val="00ED5405"/>
    <w:rsid w:val="00ED5C6E"/>
    <w:rsid w:val="00ED5CC3"/>
    <w:rsid w:val="00ED68FE"/>
    <w:rsid w:val="00ED6B0A"/>
    <w:rsid w:val="00ED71C0"/>
    <w:rsid w:val="00ED7359"/>
    <w:rsid w:val="00ED7B7F"/>
    <w:rsid w:val="00ED7D59"/>
    <w:rsid w:val="00ED7DB0"/>
    <w:rsid w:val="00EE09CF"/>
    <w:rsid w:val="00EE0C21"/>
    <w:rsid w:val="00EE110A"/>
    <w:rsid w:val="00EE1290"/>
    <w:rsid w:val="00EE1CB0"/>
    <w:rsid w:val="00EE20E6"/>
    <w:rsid w:val="00EE21E6"/>
    <w:rsid w:val="00EE2BE3"/>
    <w:rsid w:val="00EE31EF"/>
    <w:rsid w:val="00EE3305"/>
    <w:rsid w:val="00EE3656"/>
    <w:rsid w:val="00EE3B29"/>
    <w:rsid w:val="00EE3BF7"/>
    <w:rsid w:val="00EE508D"/>
    <w:rsid w:val="00EE5724"/>
    <w:rsid w:val="00EE592D"/>
    <w:rsid w:val="00EE650B"/>
    <w:rsid w:val="00EE712F"/>
    <w:rsid w:val="00EE7C44"/>
    <w:rsid w:val="00EF0335"/>
    <w:rsid w:val="00EF035C"/>
    <w:rsid w:val="00EF095C"/>
    <w:rsid w:val="00EF0A20"/>
    <w:rsid w:val="00EF0F18"/>
    <w:rsid w:val="00EF108B"/>
    <w:rsid w:val="00EF15EE"/>
    <w:rsid w:val="00EF2302"/>
    <w:rsid w:val="00EF2ACD"/>
    <w:rsid w:val="00EF31DB"/>
    <w:rsid w:val="00EF32D7"/>
    <w:rsid w:val="00EF3453"/>
    <w:rsid w:val="00EF3ACE"/>
    <w:rsid w:val="00EF4319"/>
    <w:rsid w:val="00EF44CE"/>
    <w:rsid w:val="00EF5138"/>
    <w:rsid w:val="00EF539A"/>
    <w:rsid w:val="00EF6253"/>
    <w:rsid w:val="00EF6812"/>
    <w:rsid w:val="00EF6FD7"/>
    <w:rsid w:val="00EF7618"/>
    <w:rsid w:val="00EF77A9"/>
    <w:rsid w:val="00EF77DC"/>
    <w:rsid w:val="00EF7ABD"/>
    <w:rsid w:val="00EF7E8C"/>
    <w:rsid w:val="00F004D8"/>
    <w:rsid w:val="00F00F77"/>
    <w:rsid w:val="00F01076"/>
    <w:rsid w:val="00F01543"/>
    <w:rsid w:val="00F017D7"/>
    <w:rsid w:val="00F01893"/>
    <w:rsid w:val="00F019AA"/>
    <w:rsid w:val="00F022E7"/>
    <w:rsid w:val="00F029B1"/>
    <w:rsid w:val="00F02A96"/>
    <w:rsid w:val="00F03134"/>
    <w:rsid w:val="00F0389F"/>
    <w:rsid w:val="00F03A1F"/>
    <w:rsid w:val="00F03D62"/>
    <w:rsid w:val="00F057A3"/>
    <w:rsid w:val="00F059E6"/>
    <w:rsid w:val="00F05E33"/>
    <w:rsid w:val="00F0644D"/>
    <w:rsid w:val="00F069C0"/>
    <w:rsid w:val="00F06DF5"/>
    <w:rsid w:val="00F06FA8"/>
    <w:rsid w:val="00F070A3"/>
    <w:rsid w:val="00F07122"/>
    <w:rsid w:val="00F07276"/>
    <w:rsid w:val="00F07FE8"/>
    <w:rsid w:val="00F102AA"/>
    <w:rsid w:val="00F103E4"/>
    <w:rsid w:val="00F10B0B"/>
    <w:rsid w:val="00F10B1A"/>
    <w:rsid w:val="00F11178"/>
    <w:rsid w:val="00F1151C"/>
    <w:rsid w:val="00F11CA6"/>
    <w:rsid w:val="00F11F2D"/>
    <w:rsid w:val="00F1259E"/>
    <w:rsid w:val="00F1263B"/>
    <w:rsid w:val="00F128D0"/>
    <w:rsid w:val="00F12CE4"/>
    <w:rsid w:val="00F12E58"/>
    <w:rsid w:val="00F139D2"/>
    <w:rsid w:val="00F13E74"/>
    <w:rsid w:val="00F13E99"/>
    <w:rsid w:val="00F13F40"/>
    <w:rsid w:val="00F1406B"/>
    <w:rsid w:val="00F143B6"/>
    <w:rsid w:val="00F146D6"/>
    <w:rsid w:val="00F14813"/>
    <w:rsid w:val="00F14C4E"/>
    <w:rsid w:val="00F14C9E"/>
    <w:rsid w:val="00F14E23"/>
    <w:rsid w:val="00F14E68"/>
    <w:rsid w:val="00F14F7C"/>
    <w:rsid w:val="00F14FB1"/>
    <w:rsid w:val="00F154D7"/>
    <w:rsid w:val="00F1571E"/>
    <w:rsid w:val="00F1598E"/>
    <w:rsid w:val="00F1665E"/>
    <w:rsid w:val="00F168BF"/>
    <w:rsid w:val="00F16CED"/>
    <w:rsid w:val="00F173B2"/>
    <w:rsid w:val="00F175AF"/>
    <w:rsid w:val="00F17CA2"/>
    <w:rsid w:val="00F21517"/>
    <w:rsid w:val="00F219A6"/>
    <w:rsid w:val="00F21BCC"/>
    <w:rsid w:val="00F22268"/>
    <w:rsid w:val="00F22CB7"/>
    <w:rsid w:val="00F231C6"/>
    <w:rsid w:val="00F237CA"/>
    <w:rsid w:val="00F2417A"/>
    <w:rsid w:val="00F242C3"/>
    <w:rsid w:val="00F244FE"/>
    <w:rsid w:val="00F24680"/>
    <w:rsid w:val="00F249BF"/>
    <w:rsid w:val="00F255E5"/>
    <w:rsid w:val="00F25D2C"/>
    <w:rsid w:val="00F25EF0"/>
    <w:rsid w:val="00F26C1E"/>
    <w:rsid w:val="00F275F3"/>
    <w:rsid w:val="00F27921"/>
    <w:rsid w:val="00F279FF"/>
    <w:rsid w:val="00F27DC4"/>
    <w:rsid w:val="00F30092"/>
    <w:rsid w:val="00F3023E"/>
    <w:rsid w:val="00F3067F"/>
    <w:rsid w:val="00F309AA"/>
    <w:rsid w:val="00F30B04"/>
    <w:rsid w:val="00F31158"/>
    <w:rsid w:val="00F318C6"/>
    <w:rsid w:val="00F31947"/>
    <w:rsid w:val="00F31986"/>
    <w:rsid w:val="00F32005"/>
    <w:rsid w:val="00F3209C"/>
    <w:rsid w:val="00F32410"/>
    <w:rsid w:val="00F3268E"/>
    <w:rsid w:val="00F327DB"/>
    <w:rsid w:val="00F330C1"/>
    <w:rsid w:val="00F3356F"/>
    <w:rsid w:val="00F33991"/>
    <w:rsid w:val="00F33A58"/>
    <w:rsid w:val="00F34076"/>
    <w:rsid w:val="00F34464"/>
    <w:rsid w:val="00F345A6"/>
    <w:rsid w:val="00F34705"/>
    <w:rsid w:val="00F3488D"/>
    <w:rsid w:val="00F34A8C"/>
    <w:rsid w:val="00F35ABB"/>
    <w:rsid w:val="00F35ACE"/>
    <w:rsid w:val="00F35BA1"/>
    <w:rsid w:val="00F35F57"/>
    <w:rsid w:val="00F36342"/>
    <w:rsid w:val="00F370B9"/>
    <w:rsid w:val="00F37547"/>
    <w:rsid w:val="00F376DA"/>
    <w:rsid w:val="00F37BA2"/>
    <w:rsid w:val="00F37C7F"/>
    <w:rsid w:val="00F37E36"/>
    <w:rsid w:val="00F4035D"/>
    <w:rsid w:val="00F40442"/>
    <w:rsid w:val="00F40F25"/>
    <w:rsid w:val="00F41046"/>
    <w:rsid w:val="00F413BC"/>
    <w:rsid w:val="00F41A1C"/>
    <w:rsid w:val="00F42553"/>
    <w:rsid w:val="00F42B64"/>
    <w:rsid w:val="00F42C43"/>
    <w:rsid w:val="00F434F0"/>
    <w:rsid w:val="00F44220"/>
    <w:rsid w:val="00F44BAD"/>
    <w:rsid w:val="00F45C7C"/>
    <w:rsid w:val="00F4611A"/>
    <w:rsid w:val="00F46295"/>
    <w:rsid w:val="00F46438"/>
    <w:rsid w:val="00F46500"/>
    <w:rsid w:val="00F46648"/>
    <w:rsid w:val="00F46689"/>
    <w:rsid w:val="00F50154"/>
    <w:rsid w:val="00F50577"/>
    <w:rsid w:val="00F508F1"/>
    <w:rsid w:val="00F50CC2"/>
    <w:rsid w:val="00F510D6"/>
    <w:rsid w:val="00F5197C"/>
    <w:rsid w:val="00F528CF"/>
    <w:rsid w:val="00F528F0"/>
    <w:rsid w:val="00F52A37"/>
    <w:rsid w:val="00F52FA2"/>
    <w:rsid w:val="00F536C3"/>
    <w:rsid w:val="00F53BE4"/>
    <w:rsid w:val="00F5418B"/>
    <w:rsid w:val="00F54516"/>
    <w:rsid w:val="00F54B98"/>
    <w:rsid w:val="00F54E96"/>
    <w:rsid w:val="00F56026"/>
    <w:rsid w:val="00F569CB"/>
    <w:rsid w:val="00F57B41"/>
    <w:rsid w:val="00F6030C"/>
    <w:rsid w:val="00F60DAF"/>
    <w:rsid w:val="00F60F46"/>
    <w:rsid w:val="00F6221C"/>
    <w:rsid w:val="00F623F9"/>
    <w:rsid w:val="00F62AD0"/>
    <w:rsid w:val="00F62CE7"/>
    <w:rsid w:val="00F62CED"/>
    <w:rsid w:val="00F63749"/>
    <w:rsid w:val="00F63882"/>
    <w:rsid w:val="00F63FF4"/>
    <w:rsid w:val="00F64182"/>
    <w:rsid w:val="00F64203"/>
    <w:rsid w:val="00F64920"/>
    <w:rsid w:val="00F649D8"/>
    <w:rsid w:val="00F649E6"/>
    <w:rsid w:val="00F64A86"/>
    <w:rsid w:val="00F653BD"/>
    <w:rsid w:val="00F66580"/>
    <w:rsid w:val="00F668B0"/>
    <w:rsid w:val="00F668C6"/>
    <w:rsid w:val="00F668FF"/>
    <w:rsid w:val="00F66D1A"/>
    <w:rsid w:val="00F67458"/>
    <w:rsid w:val="00F67E9E"/>
    <w:rsid w:val="00F7037C"/>
    <w:rsid w:val="00F7072E"/>
    <w:rsid w:val="00F70914"/>
    <w:rsid w:val="00F71017"/>
    <w:rsid w:val="00F711DC"/>
    <w:rsid w:val="00F7156F"/>
    <w:rsid w:val="00F722F9"/>
    <w:rsid w:val="00F7249D"/>
    <w:rsid w:val="00F724C7"/>
    <w:rsid w:val="00F72907"/>
    <w:rsid w:val="00F73373"/>
    <w:rsid w:val="00F736DF"/>
    <w:rsid w:val="00F738A8"/>
    <w:rsid w:val="00F73A07"/>
    <w:rsid w:val="00F73C86"/>
    <w:rsid w:val="00F73E2A"/>
    <w:rsid w:val="00F74143"/>
    <w:rsid w:val="00F74205"/>
    <w:rsid w:val="00F74853"/>
    <w:rsid w:val="00F75D87"/>
    <w:rsid w:val="00F76083"/>
    <w:rsid w:val="00F7640B"/>
    <w:rsid w:val="00F76CAC"/>
    <w:rsid w:val="00F76D71"/>
    <w:rsid w:val="00F76DB1"/>
    <w:rsid w:val="00F77490"/>
    <w:rsid w:val="00F77A9E"/>
    <w:rsid w:val="00F77FC6"/>
    <w:rsid w:val="00F80215"/>
    <w:rsid w:val="00F806F4"/>
    <w:rsid w:val="00F80859"/>
    <w:rsid w:val="00F80BD7"/>
    <w:rsid w:val="00F811F0"/>
    <w:rsid w:val="00F813B1"/>
    <w:rsid w:val="00F8156E"/>
    <w:rsid w:val="00F819B2"/>
    <w:rsid w:val="00F8206E"/>
    <w:rsid w:val="00F82632"/>
    <w:rsid w:val="00F83183"/>
    <w:rsid w:val="00F83541"/>
    <w:rsid w:val="00F83C43"/>
    <w:rsid w:val="00F83FC1"/>
    <w:rsid w:val="00F840D8"/>
    <w:rsid w:val="00F84708"/>
    <w:rsid w:val="00F85387"/>
    <w:rsid w:val="00F85D7C"/>
    <w:rsid w:val="00F8692D"/>
    <w:rsid w:val="00F86EB8"/>
    <w:rsid w:val="00F873ED"/>
    <w:rsid w:val="00F87C39"/>
    <w:rsid w:val="00F87F09"/>
    <w:rsid w:val="00F90F66"/>
    <w:rsid w:val="00F90FAD"/>
    <w:rsid w:val="00F910C7"/>
    <w:rsid w:val="00F9127F"/>
    <w:rsid w:val="00F9173F"/>
    <w:rsid w:val="00F91804"/>
    <w:rsid w:val="00F925CF"/>
    <w:rsid w:val="00F93D8B"/>
    <w:rsid w:val="00F947C2"/>
    <w:rsid w:val="00F948DE"/>
    <w:rsid w:val="00F94A62"/>
    <w:rsid w:val="00F95CA2"/>
    <w:rsid w:val="00F96583"/>
    <w:rsid w:val="00F967DA"/>
    <w:rsid w:val="00F96D25"/>
    <w:rsid w:val="00FA0BB0"/>
    <w:rsid w:val="00FA0F6B"/>
    <w:rsid w:val="00FA1545"/>
    <w:rsid w:val="00FA19AB"/>
    <w:rsid w:val="00FA19DF"/>
    <w:rsid w:val="00FA1C67"/>
    <w:rsid w:val="00FA1CFF"/>
    <w:rsid w:val="00FA1EEB"/>
    <w:rsid w:val="00FA2012"/>
    <w:rsid w:val="00FA233A"/>
    <w:rsid w:val="00FA2622"/>
    <w:rsid w:val="00FA2699"/>
    <w:rsid w:val="00FA278E"/>
    <w:rsid w:val="00FA2FC5"/>
    <w:rsid w:val="00FA3462"/>
    <w:rsid w:val="00FA438F"/>
    <w:rsid w:val="00FA49FD"/>
    <w:rsid w:val="00FA4BB9"/>
    <w:rsid w:val="00FA50AF"/>
    <w:rsid w:val="00FA5378"/>
    <w:rsid w:val="00FA652B"/>
    <w:rsid w:val="00FA777A"/>
    <w:rsid w:val="00FA797B"/>
    <w:rsid w:val="00FA79AA"/>
    <w:rsid w:val="00FB04A6"/>
    <w:rsid w:val="00FB087B"/>
    <w:rsid w:val="00FB09B3"/>
    <w:rsid w:val="00FB0D15"/>
    <w:rsid w:val="00FB19ED"/>
    <w:rsid w:val="00FB223B"/>
    <w:rsid w:val="00FB2334"/>
    <w:rsid w:val="00FB24D2"/>
    <w:rsid w:val="00FB264A"/>
    <w:rsid w:val="00FB2AA0"/>
    <w:rsid w:val="00FB2E04"/>
    <w:rsid w:val="00FB2E54"/>
    <w:rsid w:val="00FB37C5"/>
    <w:rsid w:val="00FB3A10"/>
    <w:rsid w:val="00FB3BC8"/>
    <w:rsid w:val="00FB3BE8"/>
    <w:rsid w:val="00FB435D"/>
    <w:rsid w:val="00FB439A"/>
    <w:rsid w:val="00FB5890"/>
    <w:rsid w:val="00FB5EA7"/>
    <w:rsid w:val="00FB630E"/>
    <w:rsid w:val="00FB63B1"/>
    <w:rsid w:val="00FB65AD"/>
    <w:rsid w:val="00FB6914"/>
    <w:rsid w:val="00FB761A"/>
    <w:rsid w:val="00FB7B99"/>
    <w:rsid w:val="00FB7EA2"/>
    <w:rsid w:val="00FC023C"/>
    <w:rsid w:val="00FC07E4"/>
    <w:rsid w:val="00FC0C2D"/>
    <w:rsid w:val="00FC0C65"/>
    <w:rsid w:val="00FC1526"/>
    <w:rsid w:val="00FC1743"/>
    <w:rsid w:val="00FC1A50"/>
    <w:rsid w:val="00FC2117"/>
    <w:rsid w:val="00FC237C"/>
    <w:rsid w:val="00FC26BB"/>
    <w:rsid w:val="00FC29AD"/>
    <w:rsid w:val="00FC2E84"/>
    <w:rsid w:val="00FC30DC"/>
    <w:rsid w:val="00FC34CD"/>
    <w:rsid w:val="00FC3543"/>
    <w:rsid w:val="00FC358D"/>
    <w:rsid w:val="00FC3979"/>
    <w:rsid w:val="00FC3F9C"/>
    <w:rsid w:val="00FC44DC"/>
    <w:rsid w:val="00FC45C4"/>
    <w:rsid w:val="00FC50C9"/>
    <w:rsid w:val="00FC50F2"/>
    <w:rsid w:val="00FC5257"/>
    <w:rsid w:val="00FC58B9"/>
    <w:rsid w:val="00FC5C66"/>
    <w:rsid w:val="00FC5F0F"/>
    <w:rsid w:val="00FC5F51"/>
    <w:rsid w:val="00FC6A87"/>
    <w:rsid w:val="00FC6AE7"/>
    <w:rsid w:val="00FC6AF5"/>
    <w:rsid w:val="00FC6F7D"/>
    <w:rsid w:val="00FC7249"/>
    <w:rsid w:val="00FC7D13"/>
    <w:rsid w:val="00FC7EC7"/>
    <w:rsid w:val="00FD012F"/>
    <w:rsid w:val="00FD144E"/>
    <w:rsid w:val="00FD1878"/>
    <w:rsid w:val="00FD1F03"/>
    <w:rsid w:val="00FD3847"/>
    <w:rsid w:val="00FD5085"/>
    <w:rsid w:val="00FD50BC"/>
    <w:rsid w:val="00FD5429"/>
    <w:rsid w:val="00FD573D"/>
    <w:rsid w:val="00FD5900"/>
    <w:rsid w:val="00FD5EBC"/>
    <w:rsid w:val="00FD5FEE"/>
    <w:rsid w:val="00FD60EB"/>
    <w:rsid w:val="00FD68CA"/>
    <w:rsid w:val="00FD6AC4"/>
    <w:rsid w:val="00FD6AF0"/>
    <w:rsid w:val="00FD7320"/>
    <w:rsid w:val="00FD7EDC"/>
    <w:rsid w:val="00FD7FA2"/>
    <w:rsid w:val="00FE00ED"/>
    <w:rsid w:val="00FE0B50"/>
    <w:rsid w:val="00FE0C81"/>
    <w:rsid w:val="00FE1439"/>
    <w:rsid w:val="00FE1802"/>
    <w:rsid w:val="00FE18D6"/>
    <w:rsid w:val="00FE1A8A"/>
    <w:rsid w:val="00FE1C96"/>
    <w:rsid w:val="00FE205E"/>
    <w:rsid w:val="00FE2499"/>
    <w:rsid w:val="00FE25F3"/>
    <w:rsid w:val="00FE2969"/>
    <w:rsid w:val="00FE29A5"/>
    <w:rsid w:val="00FE2ED6"/>
    <w:rsid w:val="00FE308E"/>
    <w:rsid w:val="00FE3D0B"/>
    <w:rsid w:val="00FE4D69"/>
    <w:rsid w:val="00FE5601"/>
    <w:rsid w:val="00FE5D86"/>
    <w:rsid w:val="00FE5E29"/>
    <w:rsid w:val="00FE5F0C"/>
    <w:rsid w:val="00FE61CD"/>
    <w:rsid w:val="00FE692D"/>
    <w:rsid w:val="00FE69FA"/>
    <w:rsid w:val="00FE6C8F"/>
    <w:rsid w:val="00FE7054"/>
    <w:rsid w:val="00FE726C"/>
    <w:rsid w:val="00FE768C"/>
    <w:rsid w:val="00FE787D"/>
    <w:rsid w:val="00FF0643"/>
    <w:rsid w:val="00FF0A5F"/>
    <w:rsid w:val="00FF14B7"/>
    <w:rsid w:val="00FF15B5"/>
    <w:rsid w:val="00FF1650"/>
    <w:rsid w:val="00FF1B4A"/>
    <w:rsid w:val="00FF1BE7"/>
    <w:rsid w:val="00FF1DAE"/>
    <w:rsid w:val="00FF2A01"/>
    <w:rsid w:val="00FF34DF"/>
    <w:rsid w:val="00FF38E8"/>
    <w:rsid w:val="00FF3B24"/>
    <w:rsid w:val="00FF3F8A"/>
    <w:rsid w:val="00FF4120"/>
    <w:rsid w:val="00FF473C"/>
    <w:rsid w:val="00FF57B2"/>
    <w:rsid w:val="00FF58C0"/>
    <w:rsid w:val="00FF5961"/>
    <w:rsid w:val="00FF59CF"/>
    <w:rsid w:val="00FF5A4A"/>
    <w:rsid w:val="00FF5DD9"/>
    <w:rsid w:val="00FF62B1"/>
    <w:rsid w:val="00FF6405"/>
    <w:rsid w:val="00FF64D7"/>
    <w:rsid w:val="00FF7043"/>
    <w:rsid w:val="00FF7C6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List Bullet 3" w:uiPriority="0" w:qFormat="1"/>
    <w:lsdException w:name="List Bullet 4"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F50154"/>
    <w:pPr>
      <w:spacing w:after="200" w:line="276" w:lineRule="auto"/>
    </w:pPr>
    <w:rPr>
      <w:sz w:val="22"/>
      <w:szCs w:val="22"/>
      <w:lang w:eastAsia="en-US"/>
    </w:rPr>
  </w:style>
  <w:style w:type="paragraph" w:styleId="10">
    <w:name w:val="heading 1"/>
    <w:basedOn w:val="a0"/>
    <w:next w:val="a0"/>
    <w:link w:val="11"/>
    <w:uiPriority w:val="99"/>
    <w:qFormat/>
    <w:rsid w:val="003B0F27"/>
    <w:pPr>
      <w:keepNext/>
      <w:keepLines/>
      <w:spacing w:before="480" w:after="0"/>
      <w:outlineLvl w:val="0"/>
    </w:pPr>
    <w:rPr>
      <w:rFonts w:ascii="Times New Roman" w:eastAsia="Times New Roman" w:hAnsi="Times New Roman"/>
      <w:b/>
      <w:bCs/>
      <w:sz w:val="32"/>
      <w:szCs w:val="28"/>
    </w:rPr>
  </w:style>
  <w:style w:type="paragraph" w:styleId="20">
    <w:name w:val="heading 2"/>
    <w:basedOn w:val="a0"/>
    <w:next w:val="a0"/>
    <w:link w:val="21"/>
    <w:uiPriority w:val="99"/>
    <w:qFormat/>
    <w:rsid w:val="003B0F27"/>
    <w:pPr>
      <w:keepNext/>
      <w:keepLines/>
      <w:spacing w:before="200" w:after="0"/>
      <w:outlineLvl w:val="1"/>
    </w:pPr>
    <w:rPr>
      <w:rFonts w:ascii="Cambria" w:eastAsia="Times New Roman" w:hAnsi="Cambria"/>
      <w:b/>
      <w:bCs/>
      <w:sz w:val="26"/>
      <w:szCs w:val="26"/>
    </w:rPr>
  </w:style>
  <w:style w:type="paragraph" w:styleId="30">
    <w:name w:val="heading 3"/>
    <w:basedOn w:val="a0"/>
    <w:next w:val="a0"/>
    <w:link w:val="31"/>
    <w:uiPriority w:val="99"/>
    <w:qFormat/>
    <w:rsid w:val="00EC2282"/>
    <w:pPr>
      <w:keepNext/>
      <w:keepLines/>
      <w:spacing w:before="200" w:after="0"/>
      <w:outlineLvl w:val="2"/>
    </w:pPr>
    <w:rPr>
      <w:rFonts w:ascii="Cambria" w:eastAsia="Times New Roman" w:hAnsi="Cambria"/>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3B0F27"/>
    <w:rPr>
      <w:rFonts w:ascii="Times New Roman" w:hAnsi="Times New Roman" w:cs="Times New Roman"/>
      <w:b/>
      <w:bCs/>
      <w:sz w:val="28"/>
      <w:szCs w:val="28"/>
    </w:rPr>
  </w:style>
  <w:style w:type="character" w:customStyle="1" w:styleId="21">
    <w:name w:val="Заголовок 2 Знак"/>
    <w:link w:val="20"/>
    <w:uiPriority w:val="99"/>
    <w:locked/>
    <w:rsid w:val="003B0F27"/>
    <w:rPr>
      <w:rFonts w:ascii="Cambria" w:hAnsi="Cambria" w:cs="Times New Roman"/>
      <w:b/>
      <w:bCs/>
      <w:sz w:val="26"/>
      <w:szCs w:val="26"/>
    </w:rPr>
  </w:style>
  <w:style w:type="character" w:customStyle="1" w:styleId="31">
    <w:name w:val="Заголовок 3 Знак"/>
    <w:link w:val="30"/>
    <w:uiPriority w:val="99"/>
    <w:locked/>
    <w:rsid w:val="00EC2282"/>
    <w:rPr>
      <w:rFonts w:ascii="Cambria" w:hAnsi="Cambria" w:cs="Times New Roman"/>
      <w:b/>
      <w:bCs/>
    </w:rPr>
  </w:style>
  <w:style w:type="table" w:styleId="a4">
    <w:name w:val="Table Grid"/>
    <w:basedOn w:val="a2"/>
    <w:uiPriority w:val="59"/>
    <w:rsid w:val="005B3A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rsid w:val="005B41E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5B41E6"/>
    <w:rPr>
      <w:rFonts w:ascii="Tahoma" w:hAnsi="Tahoma" w:cs="Tahoma"/>
      <w:sz w:val="16"/>
      <w:szCs w:val="16"/>
    </w:rPr>
  </w:style>
  <w:style w:type="paragraph" w:styleId="a7">
    <w:name w:val="footnote text"/>
    <w:aliases w:val="Текст сноски-FN,Table_Footnote_last,single space,footnote text,Footnote Text Char Char,Footnote Text Char Char Char Char,Footnote Text1,Footnote Text Char Char Char,Footnote Text Char,Footnote Text Char Знак,Footnote Text Char Знак Знак"/>
    <w:basedOn w:val="a0"/>
    <w:link w:val="a8"/>
    <w:uiPriority w:val="99"/>
    <w:rsid w:val="00516506"/>
    <w:pPr>
      <w:spacing w:after="0" w:line="240" w:lineRule="auto"/>
    </w:pPr>
    <w:rPr>
      <w:sz w:val="20"/>
      <w:szCs w:val="20"/>
    </w:rPr>
  </w:style>
  <w:style w:type="character" w:customStyle="1" w:styleId="a8">
    <w:name w:val="Текст сноски Знак"/>
    <w:aliases w:val="Текст сноски-FN Знак,Table_Footnote_last Знак,single space Знак,footnote text Знак,Footnote Text Char Char Знак,Footnote Text Char Char Char Char Знак,Footnote Text1 Знак,Footnote Text Char Char Char Знак,Footnote Text Char Знак1"/>
    <w:link w:val="a7"/>
    <w:uiPriority w:val="99"/>
    <w:locked/>
    <w:rsid w:val="00516506"/>
    <w:rPr>
      <w:rFonts w:cs="Times New Roman"/>
      <w:sz w:val="20"/>
      <w:szCs w:val="20"/>
    </w:rPr>
  </w:style>
  <w:style w:type="character" w:styleId="a9">
    <w:name w:val="footnote reference"/>
    <w:aliases w:val="Знак сноски-FN,Ciae niinee-FN,SUPERS,Знак сноски 1"/>
    <w:uiPriority w:val="99"/>
    <w:rsid w:val="00516506"/>
    <w:rPr>
      <w:rFonts w:cs="Times New Roman"/>
      <w:vertAlign w:val="superscript"/>
    </w:rPr>
  </w:style>
  <w:style w:type="paragraph" w:styleId="aa">
    <w:name w:val="List Paragraph"/>
    <w:basedOn w:val="a0"/>
    <w:link w:val="ab"/>
    <w:uiPriority w:val="34"/>
    <w:qFormat/>
    <w:rsid w:val="00793803"/>
    <w:pPr>
      <w:ind w:left="720"/>
      <w:contextualSpacing/>
    </w:pPr>
  </w:style>
  <w:style w:type="paragraph" w:customStyle="1" w:styleId="ConsPlusNormal">
    <w:name w:val="ConsPlusNormal"/>
    <w:uiPriority w:val="99"/>
    <w:rsid w:val="00242FB0"/>
    <w:pPr>
      <w:autoSpaceDE w:val="0"/>
      <w:autoSpaceDN w:val="0"/>
      <w:adjustRightInd w:val="0"/>
    </w:pPr>
    <w:rPr>
      <w:rFonts w:ascii="Times New Roman" w:hAnsi="Times New Roman"/>
      <w:sz w:val="28"/>
      <w:szCs w:val="28"/>
      <w:lang w:eastAsia="en-US"/>
    </w:rPr>
  </w:style>
  <w:style w:type="paragraph" w:styleId="ac">
    <w:name w:val="header"/>
    <w:basedOn w:val="a0"/>
    <w:link w:val="ad"/>
    <w:uiPriority w:val="99"/>
    <w:rsid w:val="00742731"/>
    <w:pPr>
      <w:tabs>
        <w:tab w:val="center" w:pos="4677"/>
        <w:tab w:val="right" w:pos="9355"/>
      </w:tabs>
      <w:spacing w:after="0" w:line="240" w:lineRule="auto"/>
    </w:pPr>
  </w:style>
  <w:style w:type="character" w:customStyle="1" w:styleId="ad">
    <w:name w:val="Верхний колонтитул Знак"/>
    <w:link w:val="ac"/>
    <w:uiPriority w:val="99"/>
    <w:locked/>
    <w:rsid w:val="00742731"/>
    <w:rPr>
      <w:rFonts w:cs="Times New Roman"/>
    </w:rPr>
  </w:style>
  <w:style w:type="paragraph" w:styleId="ae">
    <w:name w:val="footer"/>
    <w:basedOn w:val="a0"/>
    <w:link w:val="af"/>
    <w:uiPriority w:val="99"/>
    <w:rsid w:val="00742731"/>
    <w:pPr>
      <w:tabs>
        <w:tab w:val="center" w:pos="4677"/>
        <w:tab w:val="right" w:pos="9355"/>
      </w:tabs>
      <w:spacing w:after="0" w:line="240" w:lineRule="auto"/>
    </w:pPr>
  </w:style>
  <w:style w:type="character" w:customStyle="1" w:styleId="af">
    <w:name w:val="Нижний колонтитул Знак"/>
    <w:link w:val="ae"/>
    <w:uiPriority w:val="99"/>
    <w:locked/>
    <w:rsid w:val="00742731"/>
    <w:rPr>
      <w:rFonts w:cs="Times New Roman"/>
    </w:rPr>
  </w:style>
  <w:style w:type="paragraph" w:styleId="af0">
    <w:name w:val="No Spacing"/>
    <w:link w:val="af1"/>
    <w:uiPriority w:val="99"/>
    <w:qFormat/>
    <w:rsid w:val="00A80C45"/>
    <w:rPr>
      <w:rFonts w:eastAsia="Times New Roman"/>
      <w:sz w:val="22"/>
      <w:szCs w:val="22"/>
      <w:lang w:val="en-US" w:eastAsia="en-US"/>
    </w:rPr>
  </w:style>
  <w:style w:type="character" w:customStyle="1" w:styleId="af1">
    <w:name w:val="Без интервала Знак"/>
    <w:link w:val="af0"/>
    <w:uiPriority w:val="99"/>
    <w:locked/>
    <w:rsid w:val="00A80C45"/>
    <w:rPr>
      <w:rFonts w:eastAsia="Times New Roman" w:cs="Times New Roman"/>
      <w:sz w:val="22"/>
      <w:szCs w:val="22"/>
      <w:lang w:val="en-US" w:eastAsia="en-US" w:bidi="ar-SA"/>
    </w:rPr>
  </w:style>
  <w:style w:type="paragraph" w:styleId="af2">
    <w:name w:val="TOC Heading"/>
    <w:basedOn w:val="10"/>
    <w:next w:val="a0"/>
    <w:uiPriority w:val="99"/>
    <w:qFormat/>
    <w:rsid w:val="00A80C45"/>
    <w:pPr>
      <w:spacing w:before="240" w:line="259" w:lineRule="auto"/>
      <w:outlineLvl w:val="9"/>
    </w:pPr>
    <w:rPr>
      <w:b w:val="0"/>
      <w:bCs w:val="0"/>
      <w:szCs w:val="32"/>
      <w:lang w:val="en-US"/>
    </w:rPr>
  </w:style>
  <w:style w:type="paragraph" w:styleId="22">
    <w:name w:val="toc 2"/>
    <w:basedOn w:val="a0"/>
    <w:next w:val="a0"/>
    <w:autoRedefine/>
    <w:uiPriority w:val="39"/>
    <w:rsid w:val="000607B9"/>
    <w:pPr>
      <w:tabs>
        <w:tab w:val="left" w:pos="880"/>
        <w:tab w:val="right" w:leader="dot" w:pos="9062"/>
      </w:tabs>
      <w:spacing w:after="120" w:line="312" w:lineRule="auto"/>
      <w:ind w:left="221"/>
    </w:pPr>
  </w:style>
  <w:style w:type="character" w:styleId="af3">
    <w:name w:val="Hyperlink"/>
    <w:uiPriority w:val="99"/>
    <w:rsid w:val="00A80C45"/>
    <w:rPr>
      <w:rFonts w:cs="Times New Roman"/>
      <w:color w:val="0000FF"/>
      <w:u w:val="single"/>
    </w:rPr>
  </w:style>
  <w:style w:type="paragraph" w:styleId="12">
    <w:name w:val="toc 1"/>
    <w:basedOn w:val="a0"/>
    <w:next w:val="a0"/>
    <w:autoRedefine/>
    <w:uiPriority w:val="39"/>
    <w:rsid w:val="00F96D25"/>
    <w:pPr>
      <w:tabs>
        <w:tab w:val="right" w:leader="dot" w:pos="9062"/>
      </w:tabs>
      <w:spacing w:after="100"/>
    </w:pPr>
  </w:style>
  <w:style w:type="paragraph" w:styleId="af4">
    <w:name w:val="endnote text"/>
    <w:basedOn w:val="a0"/>
    <w:link w:val="af5"/>
    <w:uiPriority w:val="99"/>
    <w:semiHidden/>
    <w:rsid w:val="00365A45"/>
    <w:pPr>
      <w:spacing w:after="0" w:line="240" w:lineRule="auto"/>
    </w:pPr>
    <w:rPr>
      <w:sz w:val="20"/>
      <w:szCs w:val="20"/>
    </w:rPr>
  </w:style>
  <w:style w:type="character" w:customStyle="1" w:styleId="af5">
    <w:name w:val="Текст концевой сноски Знак"/>
    <w:link w:val="af4"/>
    <w:uiPriority w:val="99"/>
    <w:semiHidden/>
    <w:locked/>
    <w:rsid w:val="00365A45"/>
    <w:rPr>
      <w:rFonts w:cs="Times New Roman"/>
      <w:sz w:val="20"/>
      <w:szCs w:val="20"/>
    </w:rPr>
  </w:style>
  <w:style w:type="character" w:styleId="af6">
    <w:name w:val="endnote reference"/>
    <w:uiPriority w:val="99"/>
    <w:semiHidden/>
    <w:rsid w:val="00365A45"/>
    <w:rPr>
      <w:rFonts w:cs="Times New Roman"/>
      <w:vertAlign w:val="superscript"/>
    </w:rPr>
  </w:style>
  <w:style w:type="character" w:styleId="af7">
    <w:name w:val="annotation reference"/>
    <w:uiPriority w:val="99"/>
    <w:semiHidden/>
    <w:rsid w:val="001D67D3"/>
    <w:rPr>
      <w:rFonts w:cs="Times New Roman"/>
      <w:sz w:val="16"/>
      <w:szCs w:val="16"/>
    </w:rPr>
  </w:style>
  <w:style w:type="paragraph" w:styleId="af8">
    <w:name w:val="annotation text"/>
    <w:basedOn w:val="a0"/>
    <w:link w:val="af9"/>
    <w:uiPriority w:val="99"/>
    <w:semiHidden/>
    <w:rsid w:val="001D67D3"/>
    <w:pPr>
      <w:spacing w:line="240" w:lineRule="auto"/>
    </w:pPr>
    <w:rPr>
      <w:sz w:val="20"/>
      <w:szCs w:val="20"/>
    </w:rPr>
  </w:style>
  <w:style w:type="character" w:customStyle="1" w:styleId="af9">
    <w:name w:val="Текст примечания Знак"/>
    <w:link w:val="af8"/>
    <w:uiPriority w:val="99"/>
    <w:semiHidden/>
    <w:locked/>
    <w:rsid w:val="001D67D3"/>
    <w:rPr>
      <w:rFonts w:cs="Times New Roman"/>
      <w:sz w:val="20"/>
      <w:szCs w:val="20"/>
    </w:rPr>
  </w:style>
  <w:style w:type="paragraph" w:styleId="afa">
    <w:name w:val="annotation subject"/>
    <w:basedOn w:val="af8"/>
    <w:next w:val="af8"/>
    <w:link w:val="afb"/>
    <w:uiPriority w:val="99"/>
    <w:semiHidden/>
    <w:rsid w:val="001D67D3"/>
    <w:rPr>
      <w:b/>
      <w:bCs/>
    </w:rPr>
  </w:style>
  <w:style w:type="character" w:customStyle="1" w:styleId="afb">
    <w:name w:val="Тема примечания Знак"/>
    <w:link w:val="afa"/>
    <w:uiPriority w:val="99"/>
    <w:semiHidden/>
    <w:locked/>
    <w:rsid w:val="001D67D3"/>
    <w:rPr>
      <w:rFonts w:cs="Times New Roman"/>
      <w:b/>
      <w:bCs/>
      <w:sz w:val="20"/>
      <w:szCs w:val="20"/>
    </w:rPr>
  </w:style>
  <w:style w:type="paragraph" w:customStyle="1" w:styleId="TabText">
    <w:name w:val="Tab_Text"/>
    <w:aliases w:val="Black,Normal + HelveticaNeue LT 55 Roman,10 pt,Justified"/>
    <w:link w:val="TabTextChar"/>
    <w:rsid w:val="00E65DE3"/>
    <w:rPr>
      <w:rFonts w:ascii="HelveticaNeue LT 55 Roman" w:eastAsia="Times New Roman" w:hAnsi="HelveticaNeue LT 55 Roman" w:cs="HelveticaNeue LT 55 Roman"/>
      <w:sz w:val="14"/>
      <w:szCs w:val="14"/>
      <w:lang w:val="en-GB" w:bidi="ml-IN"/>
    </w:rPr>
  </w:style>
  <w:style w:type="character" w:customStyle="1" w:styleId="TabTextChar">
    <w:name w:val="Tab_Text Char"/>
    <w:aliases w:val="Black Char"/>
    <w:link w:val="TabText"/>
    <w:locked/>
    <w:rsid w:val="00E65DE3"/>
    <w:rPr>
      <w:rFonts w:ascii="HelveticaNeue LT 55 Roman" w:hAnsi="HelveticaNeue LT 55 Roman"/>
      <w:sz w:val="14"/>
      <w:lang w:val="en-GB"/>
    </w:rPr>
  </w:style>
  <w:style w:type="paragraph" w:customStyle="1" w:styleId="SourceLarge">
    <w:name w:val="SourceLarge"/>
    <w:next w:val="a0"/>
    <w:link w:val="SourceLargeChar"/>
    <w:rsid w:val="00E65DE3"/>
    <w:pPr>
      <w:suppressAutoHyphens/>
      <w:spacing w:after="360" w:line="160" w:lineRule="atLeast"/>
    </w:pPr>
    <w:rPr>
      <w:rFonts w:ascii="HelveticaNeue LT 65 Medium" w:eastAsia="Times New Roman" w:hAnsi="HelveticaNeue LT 65 Medium" w:cs="HelveticaNeue LT 65 Medium"/>
      <w:sz w:val="11"/>
      <w:szCs w:val="11"/>
      <w:lang w:val="en-GB" w:bidi="ml-IN"/>
    </w:rPr>
  </w:style>
  <w:style w:type="character" w:customStyle="1" w:styleId="SourceLargeChar">
    <w:name w:val="SourceLarge Char"/>
    <w:link w:val="SourceLarge"/>
    <w:locked/>
    <w:rsid w:val="00E65DE3"/>
    <w:rPr>
      <w:rFonts w:ascii="HelveticaNeue LT 65 Medium" w:hAnsi="HelveticaNeue LT 65 Medium"/>
      <w:sz w:val="11"/>
      <w:lang w:val="en-GB"/>
    </w:rPr>
  </w:style>
  <w:style w:type="paragraph" w:customStyle="1" w:styleId="GraphTitle">
    <w:name w:val="Graph_Title"/>
    <w:basedOn w:val="a0"/>
    <w:link w:val="GraphTitleChar"/>
    <w:rsid w:val="00E65DE3"/>
    <w:pPr>
      <w:suppressAutoHyphens/>
      <w:spacing w:before="120" w:after="40" w:line="240" w:lineRule="auto"/>
    </w:pPr>
    <w:rPr>
      <w:rFonts w:ascii="HelveticaNeue LT 65 Medium" w:eastAsia="Times New Roman" w:hAnsi="HelveticaNeue LT 65 Medium" w:cs="HelveticaNeue LT 65 Medium"/>
      <w:sz w:val="17"/>
      <w:szCs w:val="17"/>
      <w:lang w:val="en-GB" w:eastAsia="ru-RU" w:bidi="ml-IN"/>
    </w:rPr>
  </w:style>
  <w:style w:type="character" w:customStyle="1" w:styleId="GraphTitleChar">
    <w:name w:val="Graph_Title Char"/>
    <w:link w:val="GraphTitle"/>
    <w:locked/>
    <w:rsid w:val="00E65DE3"/>
    <w:rPr>
      <w:rFonts w:ascii="HelveticaNeue LT 65 Medium" w:hAnsi="HelveticaNeue LT 65 Medium"/>
      <w:sz w:val="17"/>
      <w:lang w:val="en-GB"/>
    </w:rPr>
  </w:style>
  <w:style w:type="table" w:customStyle="1" w:styleId="28">
    <w:name w:val="28"/>
    <w:uiPriority w:val="99"/>
    <w:pPr>
      <w:widowControl w:val="0"/>
      <w:autoSpaceDE w:val="0"/>
      <w:autoSpaceDN w:val="0"/>
      <w:adjustRightInd w:val="0"/>
    </w:pPr>
    <w:rPr>
      <w:rFonts w:ascii="Times New Roman" w:eastAsia="Times New Roman" w:hAnsi="Times New Roman"/>
      <w:sz w:val="24"/>
      <w:szCs w:val="24"/>
    </w:rPr>
    <w:tblPr>
      <w:tblInd w:w="2608" w:type="dxa"/>
      <w:tblCellMar>
        <w:top w:w="0" w:type="dxa"/>
        <w:left w:w="0" w:type="dxa"/>
        <w:bottom w:w="0" w:type="dxa"/>
        <w:right w:w="0" w:type="dxa"/>
      </w:tblCellMar>
    </w:tblPr>
  </w:style>
  <w:style w:type="paragraph" w:styleId="afc">
    <w:name w:val="Revision"/>
    <w:hidden/>
    <w:uiPriority w:val="99"/>
    <w:semiHidden/>
    <w:rsid w:val="009A7C9A"/>
    <w:rPr>
      <w:sz w:val="22"/>
      <w:szCs w:val="22"/>
      <w:lang w:eastAsia="en-US"/>
    </w:rPr>
  </w:style>
  <w:style w:type="paragraph" w:styleId="afd">
    <w:name w:val="Normal (Web)"/>
    <w:basedOn w:val="a0"/>
    <w:uiPriority w:val="99"/>
    <w:semiHidden/>
    <w:rsid w:val="009C27DD"/>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1">
    <w:name w:val="Таблица простая 41"/>
    <w:uiPriority w:val="99"/>
    <w:rsid w:val="004A0A82"/>
    <w:tblPr>
      <w:tblStyleRowBandSize w:val="1"/>
      <w:tblStyleColBandSize w:val="1"/>
      <w:tblInd w:w="0" w:type="dxa"/>
      <w:tblCellMar>
        <w:top w:w="0" w:type="dxa"/>
        <w:left w:w="108" w:type="dxa"/>
        <w:bottom w:w="0" w:type="dxa"/>
        <w:right w:w="108" w:type="dxa"/>
      </w:tblCellMar>
    </w:tblPr>
  </w:style>
  <w:style w:type="character" w:styleId="afe">
    <w:name w:val="Placeholder Text"/>
    <w:uiPriority w:val="99"/>
    <w:semiHidden/>
    <w:rsid w:val="00F255E5"/>
    <w:rPr>
      <w:rFonts w:cs="Times New Roman"/>
      <w:color w:val="808080"/>
    </w:rPr>
  </w:style>
  <w:style w:type="paragraph" w:styleId="32">
    <w:name w:val="toc 3"/>
    <w:basedOn w:val="a0"/>
    <w:next w:val="a0"/>
    <w:autoRedefine/>
    <w:uiPriority w:val="39"/>
    <w:rsid w:val="002D1C3F"/>
    <w:pPr>
      <w:spacing w:after="100"/>
      <w:ind w:left="440"/>
    </w:pPr>
  </w:style>
  <w:style w:type="paragraph" w:customStyle="1" w:styleId="ConsPlusTitle">
    <w:name w:val="ConsPlusTitle"/>
    <w:uiPriority w:val="99"/>
    <w:rsid w:val="00A17F02"/>
    <w:pPr>
      <w:widowControl w:val="0"/>
      <w:autoSpaceDE w:val="0"/>
      <w:autoSpaceDN w:val="0"/>
      <w:adjustRightInd w:val="0"/>
    </w:pPr>
    <w:rPr>
      <w:rFonts w:ascii="Times New Roman" w:eastAsia="Times New Roman" w:hAnsi="Times New Roman"/>
      <w:b/>
      <w:bCs/>
      <w:sz w:val="24"/>
      <w:szCs w:val="24"/>
    </w:rPr>
  </w:style>
  <w:style w:type="character" w:customStyle="1" w:styleId="CharStyle6">
    <w:name w:val="Char Style 6"/>
    <w:link w:val="Style4"/>
    <w:uiPriority w:val="99"/>
    <w:locked/>
    <w:rsid w:val="00A17F02"/>
    <w:rPr>
      <w:rFonts w:cs="Times New Roman"/>
      <w:shd w:val="clear" w:color="auto" w:fill="FFFFFF"/>
    </w:rPr>
  </w:style>
  <w:style w:type="paragraph" w:customStyle="1" w:styleId="Style4">
    <w:name w:val="Style 4"/>
    <w:basedOn w:val="a0"/>
    <w:link w:val="CharStyle6"/>
    <w:uiPriority w:val="99"/>
    <w:rsid w:val="00A17F02"/>
    <w:pPr>
      <w:widowControl w:val="0"/>
      <w:shd w:val="clear" w:color="auto" w:fill="FFFFFF"/>
      <w:spacing w:after="0" w:line="336" w:lineRule="exact"/>
      <w:jc w:val="center"/>
    </w:pPr>
  </w:style>
  <w:style w:type="paragraph" w:customStyle="1" w:styleId="Style8">
    <w:name w:val="Style8"/>
    <w:basedOn w:val="a0"/>
    <w:uiPriority w:val="99"/>
    <w:rsid w:val="0080098C"/>
    <w:pPr>
      <w:widowControl w:val="0"/>
      <w:autoSpaceDE w:val="0"/>
      <w:autoSpaceDN w:val="0"/>
      <w:adjustRightInd w:val="0"/>
      <w:spacing w:after="0" w:line="369" w:lineRule="exact"/>
      <w:ind w:firstLine="698"/>
      <w:jc w:val="both"/>
    </w:pPr>
    <w:rPr>
      <w:rFonts w:ascii="Times New Roman" w:hAnsi="Times New Roman"/>
      <w:sz w:val="24"/>
      <w:szCs w:val="24"/>
      <w:lang w:eastAsia="ru-RU"/>
    </w:rPr>
  </w:style>
  <w:style w:type="character" w:customStyle="1" w:styleId="FontStyle23">
    <w:name w:val="Font Style23"/>
    <w:uiPriority w:val="99"/>
    <w:rsid w:val="0080098C"/>
    <w:rPr>
      <w:rFonts w:ascii="Times New Roman" w:hAnsi="Times New Roman"/>
      <w:sz w:val="24"/>
    </w:rPr>
  </w:style>
  <w:style w:type="numbering" w:customStyle="1" w:styleId="2">
    <w:name w:val="Стиль2"/>
    <w:rsid w:val="00373920"/>
    <w:pPr>
      <w:numPr>
        <w:numId w:val="2"/>
      </w:numPr>
    </w:pPr>
  </w:style>
  <w:style w:type="numbering" w:customStyle="1" w:styleId="1">
    <w:name w:val="Стиль1"/>
    <w:rsid w:val="00373920"/>
    <w:pPr>
      <w:numPr>
        <w:numId w:val="1"/>
      </w:numPr>
    </w:pPr>
  </w:style>
  <w:style w:type="paragraph" w:customStyle="1" w:styleId="aff">
    <w:name w:val="Обычный текст"/>
    <w:basedOn w:val="a0"/>
    <w:link w:val="aff0"/>
    <w:qFormat/>
    <w:rsid w:val="007867FE"/>
    <w:pPr>
      <w:spacing w:after="0" w:line="360" w:lineRule="auto"/>
      <w:ind w:firstLine="709"/>
      <w:jc w:val="both"/>
    </w:pPr>
    <w:rPr>
      <w:rFonts w:ascii="Times New Roman" w:eastAsia="Times New Roman" w:hAnsi="Times New Roman"/>
      <w:sz w:val="24"/>
      <w:szCs w:val="24"/>
      <w:lang w:eastAsia="ru-RU"/>
    </w:rPr>
  </w:style>
  <w:style w:type="character" w:customStyle="1" w:styleId="aff0">
    <w:name w:val="Обычный текст Знак"/>
    <w:link w:val="aff"/>
    <w:rsid w:val="007867FE"/>
    <w:rPr>
      <w:rFonts w:ascii="Times New Roman" w:eastAsia="Times New Roman" w:hAnsi="Times New Roman"/>
      <w:sz w:val="24"/>
      <w:szCs w:val="24"/>
    </w:rPr>
  </w:style>
  <w:style w:type="paragraph" w:customStyle="1" w:styleId="aff1">
    <w:name w:val="Рисунок примечание"/>
    <w:basedOn w:val="a0"/>
    <w:link w:val="aff2"/>
    <w:qFormat/>
    <w:rsid w:val="007867FE"/>
    <w:pPr>
      <w:keepNext/>
      <w:keepLines/>
      <w:spacing w:before="20" w:after="0" w:line="240" w:lineRule="auto"/>
      <w:ind w:firstLine="709"/>
    </w:pPr>
    <w:rPr>
      <w:rFonts w:ascii="Times New Roman" w:eastAsia="Times New Roman" w:hAnsi="Times New Roman"/>
      <w:i/>
      <w:sz w:val="20"/>
      <w:szCs w:val="20"/>
    </w:rPr>
  </w:style>
  <w:style w:type="character" w:customStyle="1" w:styleId="aff2">
    <w:name w:val="Рисунок примечание Знак"/>
    <w:link w:val="aff1"/>
    <w:rsid w:val="007867FE"/>
    <w:rPr>
      <w:rFonts w:ascii="Times New Roman" w:eastAsia="Times New Roman" w:hAnsi="Times New Roman"/>
      <w:i/>
      <w:sz w:val="20"/>
      <w:szCs w:val="20"/>
      <w:lang w:eastAsia="en-US"/>
    </w:rPr>
  </w:style>
  <w:style w:type="paragraph" w:customStyle="1" w:styleId="-">
    <w:name w:val="Рисунок - название"/>
    <w:basedOn w:val="a0"/>
    <w:link w:val="-0"/>
    <w:qFormat/>
    <w:rsid w:val="007867FE"/>
    <w:pPr>
      <w:keepNext/>
      <w:keepLines/>
      <w:tabs>
        <w:tab w:val="num" w:pos="0"/>
      </w:tabs>
      <w:spacing w:before="60" w:after="240" w:line="360" w:lineRule="auto"/>
      <w:ind w:left="709"/>
      <w:jc w:val="center"/>
    </w:pPr>
    <w:rPr>
      <w:rFonts w:ascii="Times New Roman" w:eastAsia="Times New Roman" w:hAnsi="Times New Roman"/>
      <w:b/>
      <w:sz w:val="24"/>
      <w:szCs w:val="24"/>
      <w:lang w:eastAsia="ru-RU"/>
    </w:rPr>
  </w:style>
  <w:style w:type="character" w:customStyle="1" w:styleId="-0">
    <w:name w:val="Рисунок - название Знак"/>
    <w:link w:val="-"/>
    <w:rsid w:val="007867FE"/>
    <w:rPr>
      <w:rFonts w:ascii="Times New Roman" w:eastAsia="Times New Roman" w:hAnsi="Times New Roman"/>
      <w:b/>
      <w:sz w:val="24"/>
      <w:szCs w:val="24"/>
    </w:rPr>
  </w:style>
  <w:style w:type="paragraph" w:customStyle="1" w:styleId="Default">
    <w:name w:val="Default"/>
    <w:rsid w:val="00776499"/>
    <w:pPr>
      <w:autoSpaceDE w:val="0"/>
      <w:autoSpaceDN w:val="0"/>
      <w:adjustRightInd w:val="0"/>
    </w:pPr>
    <w:rPr>
      <w:rFonts w:ascii="Times New Roman" w:hAnsi="Times New Roman"/>
      <w:color w:val="000000"/>
      <w:sz w:val="24"/>
      <w:szCs w:val="24"/>
    </w:rPr>
  </w:style>
  <w:style w:type="table" w:customStyle="1" w:styleId="Smalltable">
    <w:name w:val="Small table"/>
    <w:basedOn w:val="a2"/>
    <w:rsid w:val="005609BB"/>
    <w:pPr>
      <w:jc w:val="both"/>
    </w:pPr>
    <w:rPr>
      <w:rFonts w:ascii="HelveticaNeue LT 65 Medium" w:eastAsia="Times New Roman" w:hAnsi="HelveticaNeue LT 65 Medium"/>
      <w:sz w:val="14"/>
      <w:szCs w:val="14"/>
      <w:lang w:val="en-US" w:eastAsia="en-US"/>
    </w:rPr>
    <w:tblPr>
      <w:tblInd w:w="2608" w:type="dxa"/>
      <w:tblCellMar>
        <w:top w:w="0" w:type="dxa"/>
        <w:left w:w="0" w:type="dxa"/>
        <w:bottom w:w="0" w:type="dxa"/>
        <w:right w:w="0" w:type="dxa"/>
      </w:tblCellMar>
    </w:tblPr>
    <w:tcPr>
      <w:tcMar>
        <w:left w:w="28" w:type="dxa"/>
        <w:right w:w="28" w:type="dxa"/>
      </w:tcMar>
    </w:tcPr>
  </w:style>
  <w:style w:type="table" w:styleId="aff3">
    <w:name w:val="Light Shading"/>
    <w:basedOn w:val="a2"/>
    <w:uiPriority w:val="60"/>
    <w:rsid w:val="00AA1BF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f4">
    <w:name w:val="Emphasis"/>
    <w:basedOn w:val="a1"/>
    <w:qFormat/>
    <w:locked/>
    <w:rsid w:val="003A5E48"/>
    <w:rPr>
      <w:i/>
      <w:iCs/>
    </w:rPr>
  </w:style>
  <w:style w:type="character" w:customStyle="1" w:styleId="CharStyle11">
    <w:name w:val="Char Style 11"/>
    <w:basedOn w:val="a1"/>
    <w:link w:val="Style10"/>
    <w:uiPriority w:val="99"/>
    <w:locked/>
    <w:rsid w:val="00675B8E"/>
    <w:rPr>
      <w:sz w:val="23"/>
      <w:szCs w:val="23"/>
      <w:shd w:val="clear" w:color="auto" w:fill="FFFFFF"/>
    </w:rPr>
  </w:style>
  <w:style w:type="character" w:customStyle="1" w:styleId="CharStyle450">
    <w:name w:val="Char Style 450"/>
    <w:basedOn w:val="CharStyle11"/>
    <w:uiPriority w:val="99"/>
    <w:rsid w:val="00675B8E"/>
    <w:rPr>
      <w:b/>
      <w:bCs/>
      <w:sz w:val="19"/>
      <w:szCs w:val="19"/>
      <w:shd w:val="clear" w:color="auto" w:fill="FFFFFF"/>
    </w:rPr>
  </w:style>
  <w:style w:type="paragraph" w:customStyle="1" w:styleId="Style10">
    <w:name w:val="Style 10"/>
    <w:basedOn w:val="a0"/>
    <w:link w:val="CharStyle11"/>
    <w:uiPriority w:val="99"/>
    <w:rsid w:val="00675B8E"/>
    <w:pPr>
      <w:widowControl w:val="0"/>
      <w:shd w:val="clear" w:color="auto" w:fill="FFFFFF"/>
      <w:spacing w:before="3480" w:after="0" w:line="240" w:lineRule="atLeast"/>
      <w:ind w:hanging="360"/>
    </w:pPr>
    <w:rPr>
      <w:sz w:val="23"/>
      <w:szCs w:val="23"/>
      <w:lang w:eastAsia="ru-RU"/>
    </w:rPr>
  </w:style>
  <w:style w:type="character" w:customStyle="1" w:styleId="CharStyle453">
    <w:name w:val="Char Style 453"/>
    <w:basedOn w:val="CharStyle11"/>
    <w:uiPriority w:val="99"/>
    <w:rsid w:val="00675B8E"/>
    <w:rPr>
      <w:rFonts w:cs="Times New Roman"/>
      <w:sz w:val="19"/>
      <w:szCs w:val="19"/>
      <w:shd w:val="clear" w:color="auto" w:fill="FFFFFF"/>
    </w:rPr>
  </w:style>
  <w:style w:type="paragraph" w:styleId="3">
    <w:name w:val="List Bullet 3"/>
    <w:aliases w:val="FF_Bullet"/>
    <w:basedOn w:val="a0"/>
    <w:qFormat/>
    <w:rsid w:val="008036C2"/>
    <w:pPr>
      <w:numPr>
        <w:numId w:val="17"/>
      </w:numPr>
      <w:spacing w:before="120" w:after="0" w:line="280" w:lineRule="exact"/>
      <w:jc w:val="both"/>
    </w:pPr>
    <w:rPr>
      <w:rFonts w:ascii="FreeSetC" w:eastAsia="Times New Roman" w:hAnsi="FreeSetC"/>
      <w:sz w:val="19"/>
      <w:szCs w:val="16"/>
      <w:lang w:val="en-US"/>
    </w:rPr>
  </w:style>
  <w:style w:type="paragraph" w:styleId="4">
    <w:name w:val="List Bullet 4"/>
    <w:aliases w:val="FF_Subbullet"/>
    <w:basedOn w:val="a0"/>
    <w:qFormat/>
    <w:rsid w:val="008036C2"/>
    <w:pPr>
      <w:numPr>
        <w:ilvl w:val="2"/>
        <w:numId w:val="17"/>
      </w:numPr>
      <w:spacing w:before="120" w:after="0" w:line="280" w:lineRule="exact"/>
      <w:jc w:val="both"/>
    </w:pPr>
    <w:rPr>
      <w:rFonts w:ascii="FreeSetC" w:eastAsia="Times New Roman" w:hAnsi="FreeSetC"/>
      <w:sz w:val="19"/>
      <w:szCs w:val="16"/>
      <w:lang w:val="en-US"/>
    </w:rPr>
  </w:style>
  <w:style w:type="paragraph" w:customStyle="1" w:styleId="FFGhostBullet">
    <w:name w:val="FF_GhostBullet"/>
    <w:basedOn w:val="a0"/>
    <w:next w:val="3"/>
    <w:rsid w:val="008036C2"/>
    <w:pPr>
      <w:numPr>
        <w:ilvl w:val="1"/>
        <w:numId w:val="17"/>
      </w:numPr>
      <w:spacing w:before="120" w:after="0" w:line="280" w:lineRule="exact"/>
      <w:jc w:val="both"/>
    </w:pPr>
    <w:rPr>
      <w:rFonts w:ascii="FreeSetC" w:eastAsia="Times New Roman" w:hAnsi="FreeSetC"/>
      <w:sz w:val="19"/>
      <w:szCs w:val="16"/>
      <w:lang w:val="en-US"/>
    </w:rPr>
  </w:style>
  <w:style w:type="paragraph" w:customStyle="1" w:styleId="FFGhostSubbullet">
    <w:name w:val="FF_GhostSubbullet"/>
    <w:basedOn w:val="a0"/>
    <w:next w:val="4"/>
    <w:rsid w:val="008036C2"/>
    <w:pPr>
      <w:numPr>
        <w:ilvl w:val="3"/>
        <w:numId w:val="17"/>
      </w:numPr>
      <w:spacing w:before="120" w:after="0" w:line="280" w:lineRule="exact"/>
      <w:jc w:val="both"/>
    </w:pPr>
    <w:rPr>
      <w:rFonts w:ascii="FreeSetC" w:eastAsia="Times New Roman" w:hAnsi="FreeSetC"/>
      <w:sz w:val="19"/>
      <w:szCs w:val="16"/>
      <w:lang w:val="en-US"/>
    </w:rPr>
  </w:style>
  <w:style w:type="numbering" w:customStyle="1" w:styleId="FFBullets">
    <w:name w:val="FF_Bullets"/>
    <w:uiPriority w:val="99"/>
    <w:rsid w:val="008036C2"/>
    <w:pPr>
      <w:numPr>
        <w:numId w:val="17"/>
      </w:numPr>
    </w:pPr>
  </w:style>
  <w:style w:type="character" w:customStyle="1" w:styleId="ab">
    <w:name w:val="Абзац списка Знак"/>
    <w:link w:val="aa"/>
    <w:uiPriority w:val="34"/>
    <w:rsid w:val="00D02C11"/>
    <w:rPr>
      <w:sz w:val="22"/>
      <w:szCs w:val="22"/>
      <w:lang w:eastAsia="en-US"/>
    </w:rPr>
  </w:style>
  <w:style w:type="character" w:customStyle="1" w:styleId="CharStyle12">
    <w:name w:val="Char Style 12"/>
    <w:link w:val="Style6"/>
    <w:uiPriority w:val="99"/>
    <w:locked/>
    <w:rsid w:val="007903DA"/>
    <w:rPr>
      <w:sz w:val="26"/>
      <w:u w:val="none"/>
    </w:rPr>
  </w:style>
  <w:style w:type="character" w:customStyle="1" w:styleId="CharStyle5">
    <w:name w:val="Char Style 5"/>
    <w:basedOn w:val="a1"/>
    <w:uiPriority w:val="99"/>
    <w:locked/>
    <w:rsid w:val="00B724EF"/>
    <w:rPr>
      <w:rFonts w:cs="Times New Roman"/>
      <w:b/>
      <w:bCs/>
      <w:spacing w:val="-10"/>
      <w:sz w:val="26"/>
      <w:szCs w:val="26"/>
      <w:shd w:val="clear" w:color="auto" w:fill="FFFFFF"/>
    </w:rPr>
  </w:style>
  <w:style w:type="paragraph" w:styleId="23">
    <w:name w:val="Body Text 2"/>
    <w:basedOn w:val="a0"/>
    <w:link w:val="24"/>
    <w:rsid w:val="00133BC5"/>
    <w:pPr>
      <w:spacing w:before="120" w:after="120" w:line="480" w:lineRule="auto"/>
      <w:jc w:val="both"/>
    </w:pPr>
    <w:rPr>
      <w:rFonts w:ascii="Times New Roman" w:eastAsia="Times New Roman" w:hAnsi="Times New Roman"/>
      <w:sz w:val="24"/>
      <w:szCs w:val="24"/>
      <w:lang w:eastAsia="ru-RU"/>
    </w:rPr>
  </w:style>
  <w:style w:type="character" w:customStyle="1" w:styleId="24">
    <w:name w:val="Основной текст 2 Знак"/>
    <w:basedOn w:val="a1"/>
    <w:link w:val="23"/>
    <w:rsid w:val="00133BC5"/>
    <w:rPr>
      <w:rFonts w:ascii="Times New Roman" w:eastAsia="Times New Roman" w:hAnsi="Times New Roman"/>
      <w:sz w:val="24"/>
      <w:szCs w:val="24"/>
    </w:rPr>
  </w:style>
  <w:style w:type="paragraph" w:customStyle="1" w:styleId="a">
    <w:name w:val="Заголовок ОНБП"/>
    <w:basedOn w:val="10"/>
    <w:link w:val="aff5"/>
    <w:qFormat/>
    <w:rsid w:val="00133BC5"/>
    <w:pPr>
      <w:numPr>
        <w:numId w:val="22"/>
      </w:numPr>
      <w:spacing w:after="240"/>
      <w:jc w:val="both"/>
    </w:pPr>
    <w:rPr>
      <w:szCs w:val="32"/>
    </w:rPr>
  </w:style>
  <w:style w:type="paragraph" w:customStyle="1" w:styleId="13">
    <w:name w:val="Заголовок ОНБП 1 уровня"/>
    <w:basedOn w:val="20"/>
    <w:link w:val="14"/>
    <w:qFormat/>
    <w:rsid w:val="00133BC5"/>
    <w:pPr>
      <w:spacing w:before="240" w:after="240"/>
      <w:ind w:left="720" w:hanging="720"/>
      <w:jc w:val="both"/>
    </w:pPr>
    <w:rPr>
      <w:rFonts w:ascii="Times New Roman" w:hAnsi="Times New Roman"/>
      <w:color w:val="4F81BD" w:themeColor="accent1"/>
      <w:sz w:val="28"/>
      <w:szCs w:val="28"/>
    </w:rPr>
  </w:style>
  <w:style w:type="character" w:customStyle="1" w:styleId="aff5">
    <w:name w:val="Заголовок ОНБП Знак"/>
    <w:basedOn w:val="11"/>
    <w:link w:val="a"/>
    <w:rsid w:val="00133BC5"/>
    <w:rPr>
      <w:rFonts w:ascii="Times New Roman" w:eastAsia="Times New Roman" w:hAnsi="Times New Roman" w:cs="Times New Roman"/>
      <w:b/>
      <w:bCs/>
      <w:sz w:val="32"/>
      <w:szCs w:val="32"/>
      <w:lang w:eastAsia="en-US"/>
    </w:rPr>
  </w:style>
  <w:style w:type="character" w:customStyle="1" w:styleId="14">
    <w:name w:val="Заголовок ОНБП 1 уровня Знак"/>
    <w:basedOn w:val="21"/>
    <w:link w:val="13"/>
    <w:rsid w:val="00133BC5"/>
    <w:rPr>
      <w:rFonts w:ascii="Times New Roman" w:eastAsia="Times New Roman" w:hAnsi="Times New Roman" w:cs="Times New Roman"/>
      <w:b/>
      <w:bCs/>
      <w:color w:val="4F81BD" w:themeColor="accent1"/>
      <w:sz w:val="28"/>
      <w:szCs w:val="28"/>
      <w:lang w:eastAsia="en-US"/>
    </w:rPr>
  </w:style>
  <w:style w:type="character" w:customStyle="1" w:styleId="CharStyle7Exact">
    <w:name w:val="Char Style 7 Exact"/>
    <w:basedOn w:val="a1"/>
    <w:uiPriority w:val="99"/>
    <w:rsid w:val="00133BC5"/>
    <w:rPr>
      <w:rFonts w:cs="Times New Roman"/>
      <w:b/>
      <w:bCs/>
      <w:spacing w:val="-13"/>
      <w:u w:val="none"/>
    </w:rPr>
  </w:style>
  <w:style w:type="character" w:customStyle="1" w:styleId="CharStyle20">
    <w:name w:val="Char Style 20"/>
    <w:basedOn w:val="CharStyle5"/>
    <w:uiPriority w:val="99"/>
    <w:rsid w:val="00133BC5"/>
    <w:rPr>
      <w:rFonts w:cs="Times New Roman"/>
      <w:b/>
      <w:bCs/>
      <w:spacing w:val="-10"/>
      <w:sz w:val="26"/>
      <w:szCs w:val="26"/>
      <w:shd w:val="clear" w:color="auto" w:fill="FFFFFF"/>
    </w:rPr>
  </w:style>
  <w:style w:type="character" w:customStyle="1" w:styleId="CharStyle24">
    <w:name w:val="Char Style 24"/>
    <w:basedOn w:val="CharStyle5"/>
    <w:uiPriority w:val="99"/>
    <w:rsid w:val="00133BC5"/>
    <w:rPr>
      <w:rFonts w:cs="Times New Roman"/>
      <w:b w:val="0"/>
      <w:bCs w:val="0"/>
      <w:spacing w:val="0"/>
      <w:sz w:val="11"/>
      <w:szCs w:val="11"/>
      <w:shd w:val="clear" w:color="auto" w:fill="FFFFFF"/>
    </w:rPr>
  </w:style>
  <w:style w:type="character" w:customStyle="1" w:styleId="CharStyle25">
    <w:name w:val="Char Style 25"/>
    <w:basedOn w:val="CharStyle5"/>
    <w:uiPriority w:val="99"/>
    <w:rsid w:val="00133BC5"/>
    <w:rPr>
      <w:rFonts w:cs="Times New Roman"/>
      <w:b/>
      <w:bCs/>
      <w:spacing w:val="-10"/>
      <w:sz w:val="24"/>
      <w:szCs w:val="24"/>
      <w:shd w:val="clear" w:color="auto" w:fill="FFFFFF"/>
    </w:rPr>
  </w:style>
  <w:style w:type="character" w:customStyle="1" w:styleId="CharStyle26">
    <w:name w:val="Char Style 26"/>
    <w:basedOn w:val="CharStyle5"/>
    <w:uiPriority w:val="99"/>
    <w:rsid w:val="00133BC5"/>
    <w:rPr>
      <w:rFonts w:cs="Times New Roman"/>
      <w:b/>
      <w:bCs/>
      <w:spacing w:val="-10"/>
      <w:sz w:val="24"/>
      <w:szCs w:val="24"/>
      <w:u w:val="single"/>
      <w:shd w:val="clear" w:color="auto" w:fill="FFFFFF"/>
    </w:rPr>
  </w:style>
  <w:style w:type="paragraph" w:customStyle="1" w:styleId="Style6">
    <w:name w:val="Style 6"/>
    <w:basedOn w:val="a0"/>
    <w:link w:val="CharStyle12"/>
    <w:uiPriority w:val="99"/>
    <w:rsid w:val="00133BC5"/>
    <w:pPr>
      <w:widowControl w:val="0"/>
      <w:shd w:val="clear" w:color="auto" w:fill="FFFFFF"/>
      <w:spacing w:before="120" w:after="0" w:line="298" w:lineRule="exact"/>
      <w:jc w:val="both"/>
    </w:pPr>
    <w:rPr>
      <w:sz w:val="26"/>
      <w:szCs w:val="20"/>
      <w:lang w:eastAsia="ru-RU"/>
    </w:rPr>
  </w:style>
  <w:style w:type="character" w:customStyle="1" w:styleId="CharStyle3">
    <w:name w:val="Char Style 3"/>
    <w:basedOn w:val="a1"/>
    <w:link w:val="Style2"/>
    <w:uiPriority w:val="99"/>
    <w:locked/>
    <w:rsid w:val="00133BC5"/>
    <w:rPr>
      <w:b/>
      <w:bCs/>
      <w:shd w:val="clear" w:color="auto" w:fill="FFFFFF"/>
    </w:rPr>
  </w:style>
  <w:style w:type="character" w:customStyle="1" w:styleId="CharStyle27">
    <w:name w:val="Char Style 27"/>
    <w:basedOn w:val="CharStyle5"/>
    <w:uiPriority w:val="99"/>
    <w:rsid w:val="00133BC5"/>
    <w:rPr>
      <w:rFonts w:cs="Times New Roman"/>
      <w:b w:val="0"/>
      <w:bCs w:val="0"/>
      <w:spacing w:val="-10"/>
      <w:sz w:val="18"/>
      <w:szCs w:val="18"/>
      <w:u w:val="none"/>
      <w:shd w:val="clear" w:color="auto" w:fill="FFFFFF"/>
    </w:rPr>
  </w:style>
  <w:style w:type="character" w:customStyle="1" w:styleId="CharStyle28">
    <w:name w:val="Char Style 28"/>
    <w:basedOn w:val="CharStyle5"/>
    <w:uiPriority w:val="99"/>
    <w:rsid w:val="00133BC5"/>
    <w:rPr>
      <w:rFonts w:cs="Times New Roman"/>
      <w:b/>
      <w:bCs/>
      <w:spacing w:val="-10"/>
      <w:sz w:val="18"/>
      <w:szCs w:val="18"/>
      <w:u w:val="none"/>
      <w:shd w:val="clear" w:color="auto" w:fill="FFFFFF"/>
    </w:rPr>
  </w:style>
  <w:style w:type="paragraph" w:customStyle="1" w:styleId="Style2">
    <w:name w:val="Style 2"/>
    <w:basedOn w:val="a0"/>
    <w:link w:val="CharStyle3"/>
    <w:uiPriority w:val="99"/>
    <w:rsid w:val="00133BC5"/>
    <w:pPr>
      <w:widowControl w:val="0"/>
      <w:shd w:val="clear" w:color="auto" w:fill="FFFFFF"/>
      <w:spacing w:before="60" w:after="0" w:line="206" w:lineRule="exact"/>
      <w:jc w:val="center"/>
    </w:pPr>
    <w:rPr>
      <w:b/>
      <w:bCs/>
      <w:sz w:val="20"/>
      <w:szCs w:val="20"/>
      <w:lang w:eastAsia="ru-RU"/>
    </w:rPr>
  </w:style>
  <w:style w:type="character" w:customStyle="1" w:styleId="CharStyle30">
    <w:name w:val="Char Style 30"/>
    <w:basedOn w:val="a1"/>
    <w:link w:val="Style29"/>
    <w:uiPriority w:val="99"/>
    <w:locked/>
    <w:rsid w:val="00133BC5"/>
    <w:rPr>
      <w:b/>
      <w:bCs/>
      <w:spacing w:val="-20"/>
      <w:shd w:val="clear" w:color="auto" w:fill="FFFFFF"/>
    </w:rPr>
  </w:style>
  <w:style w:type="character" w:customStyle="1" w:styleId="CharStyle31">
    <w:name w:val="Char Style 31"/>
    <w:basedOn w:val="CharStyle5"/>
    <w:uiPriority w:val="99"/>
    <w:rsid w:val="00133BC5"/>
    <w:rPr>
      <w:rFonts w:cs="Times New Roman"/>
      <w:b w:val="0"/>
      <w:bCs w:val="0"/>
      <w:spacing w:val="-10"/>
      <w:sz w:val="24"/>
      <w:szCs w:val="24"/>
      <w:u w:val="none"/>
      <w:shd w:val="clear" w:color="auto" w:fill="FFFFFF"/>
    </w:rPr>
  </w:style>
  <w:style w:type="paragraph" w:customStyle="1" w:styleId="Style29">
    <w:name w:val="Style 29"/>
    <w:basedOn w:val="a0"/>
    <w:link w:val="CharStyle30"/>
    <w:uiPriority w:val="99"/>
    <w:rsid w:val="00133BC5"/>
    <w:pPr>
      <w:widowControl w:val="0"/>
      <w:shd w:val="clear" w:color="auto" w:fill="FFFFFF"/>
      <w:spacing w:before="120" w:after="360" w:line="293" w:lineRule="exact"/>
      <w:jc w:val="center"/>
    </w:pPr>
    <w:rPr>
      <w:b/>
      <w:bCs/>
      <w:spacing w:val="-20"/>
      <w:sz w:val="20"/>
      <w:szCs w:val="20"/>
      <w:lang w:eastAsia="ru-RU"/>
    </w:rPr>
  </w:style>
  <w:style w:type="paragraph" w:styleId="aff6">
    <w:name w:val="Subtitle"/>
    <w:basedOn w:val="a0"/>
    <w:next w:val="a0"/>
    <w:link w:val="aff7"/>
    <w:qFormat/>
    <w:locked/>
    <w:rsid w:val="00133BC5"/>
    <w:pPr>
      <w:spacing w:before="120" w:after="60" w:line="240" w:lineRule="auto"/>
      <w:jc w:val="center"/>
      <w:outlineLvl w:val="1"/>
    </w:pPr>
    <w:rPr>
      <w:rFonts w:ascii="Cambria" w:eastAsia="Times New Roman" w:hAnsi="Cambria"/>
      <w:sz w:val="24"/>
      <w:szCs w:val="24"/>
      <w:lang w:val="x-none" w:eastAsia="x-none"/>
    </w:rPr>
  </w:style>
  <w:style w:type="character" w:customStyle="1" w:styleId="aff7">
    <w:name w:val="Подзаголовок Знак"/>
    <w:basedOn w:val="a1"/>
    <w:link w:val="aff6"/>
    <w:rsid w:val="00133BC5"/>
    <w:rPr>
      <w:rFonts w:ascii="Cambria" w:eastAsia="Times New Roman" w:hAnsi="Cambria"/>
      <w:sz w:val="24"/>
      <w:szCs w:val="24"/>
      <w:lang w:val="x-none" w:eastAsia="x-none"/>
    </w:rPr>
  </w:style>
  <w:style w:type="character" w:customStyle="1" w:styleId="aff8">
    <w:name w:val="Основной текст + Полужирный"/>
    <w:rsid w:val="00133BC5"/>
    <w:rPr>
      <w:rFonts w:ascii="Times New Roman" w:eastAsia="Times New Roman" w:hAnsi="Times New Roman" w:cs="Times New Roman"/>
      <w:b/>
      <w:bCs/>
      <w:i w:val="0"/>
      <w:iCs w:val="0"/>
      <w:smallCaps w:val="0"/>
      <w:strike w:val="0"/>
      <w:color w:val="000000"/>
      <w:spacing w:val="0"/>
      <w:w w:val="100"/>
      <w:position w:val="0"/>
      <w:sz w:val="29"/>
      <w:szCs w:val="29"/>
      <w:u w:val="none"/>
      <w:shd w:val="clear" w:color="auto" w:fill="FFFFFF"/>
      <w:lang w:val="ru-RU"/>
    </w:rPr>
  </w:style>
  <w:style w:type="paragraph" w:customStyle="1" w:styleId="Style7">
    <w:name w:val="Style7"/>
    <w:basedOn w:val="a0"/>
    <w:uiPriority w:val="99"/>
    <w:rsid w:val="00133BC5"/>
    <w:pPr>
      <w:widowControl w:val="0"/>
      <w:autoSpaceDE w:val="0"/>
      <w:autoSpaceDN w:val="0"/>
      <w:adjustRightInd w:val="0"/>
      <w:spacing w:before="120" w:after="0" w:line="522" w:lineRule="exact"/>
      <w:ind w:firstLine="684"/>
      <w:jc w:val="both"/>
    </w:pPr>
    <w:rPr>
      <w:rFonts w:ascii="Times New Roman" w:eastAsia="Times New Roman" w:hAnsi="Times New Roman"/>
      <w:sz w:val="24"/>
      <w:szCs w:val="24"/>
      <w:lang w:eastAsia="ru-RU"/>
    </w:rPr>
  </w:style>
  <w:style w:type="character" w:customStyle="1" w:styleId="FontStyle87">
    <w:name w:val="Font Style87"/>
    <w:uiPriority w:val="99"/>
    <w:rsid w:val="00133BC5"/>
    <w:rPr>
      <w:rFonts w:ascii="Times New Roman" w:hAnsi="Times New Roman" w:cs="Times New Roman"/>
      <w:sz w:val="28"/>
      <w:szCs w:val="28"/>
    </w:rPr>
  </w:style>
  <w:style w:type="paragraph" w:styleId="40">
    <w:name w:val="toc 4"/>
    <w:basedOn w:val="a0"/>
    <w:next w:val="a0"/>
    <w:autoRedefine/>
    <w:uiPriority w:val="39"/>
    <w:unhideWhenUsed/>
    <w:locked/>
    <w:rsid w:val="00133BC5"/>
    <w:pPr>
      <w:spacing w:before="120" w:after="100"/>
      <w:ind w:left="660"/>
      <w:jc w:val="both"/>
    </w:pPr>
    <w:rPr>
      <w:rFonts w:asciiTheme="minorHAnsi" w:eastAsiaTheme="minorEastAsia" w:hAnsiTheme="minorHAnsi" w:cstheme="minorBidi"/>
      <w:sz w:val="24"/>
      <w:szCs w:val="24"/>
      <w:lang w:eastAsia="ru-RU"/>
    </w:rPr>
  </w:style>
  <w:style w:type="paragraph" w:styleId="5">
    <w:name w:val="toc 5"/>
    <w:basedOn w:val="a0"/>
    <w:next w:val="a0"/>
    <w:autoRedefine/>
    <w:uiPriority w:val="39"/>
    <w:unhideWhenUsed/>
    <w:locked/>
    <w:rsid w:val="00133BC5"/>
    <w:pPr>
      <w:spacing w:before="120" w:after="100"/>
      <w:ind w:left="880"/>
      <w:jc w:val="both"/>
    </w:pPr>
    <w:rPr>
      <w:rFonts w:asciiTheme="minorHAnsi" w:eastAsiaTheme="minorEastAsia" w:hAnsiTheme="minorHAnsi" w:cstheme="minorBidi"/>
      <w:sz w:val="24"/>
      <w:szCs w:val="24"/>
      <w:lang w:eastAsia="ru-RU"/>
    </w:rPr>
  </w:style>
  <w:style w:type="paragraph" w:styleId="6">
    <w:name w:val="toc 6"/>
    <w:basedOn w:val="a0"/>
    <w:next w:val="a0"/>
    <w:autoRedefine/>
    <w:uiPriority w:val="39"/>
    <w:unhideWhenUsed/>
    <w:locked/>
    <w:rsid w:val="00133BC5"/>
    <w:pPr>
      <w:spacing w:before="120" w:after="100"/>
      <w:ind w:left="1100"/>
      <w:jc w:val="both"/>
    </w:pPr>
    <w:rPr>
      <w:rFonts w:asciiTheme="minorHAnsi" w:eastAsiaTheme="minorEastAsia" w:hAnsiTheme="minorHAnsi" w:cstheme="minorBidi"/>
      <w:sz w:val="24"/>
      <w:szCs w:val="24"/>
      <w:lang w:eastAsia="ru-RU"/>
    </w:rPr>
  </w:style>
  <w:style w:type="paragraph" w:styleId="7">
    <w:name w:val="toc 7"/>
    <w:basedOn w:val="a0"/>
    <w:next w:val="a0"/>
    <w:autoRedefine/>
    <w:uiPriority w:val="39"/>
    <w:unhideWhenUsed/>
    <w:locked/>
    <w:rsid w:val="00133BC5"/>
    <w:pPr>
      <w:spacing w:before="120" w:after="100"/>
      <w:ind w:left="1320"/>
      <w:jc w:val="both"/>
    </w:pPr>
    <w:rPr>
      <w:rFonts w:asciiTheme="minorHAnsi" w:eastAsiaTheme="minorEastAsia" w:hAnsiTheme="minorHAnsi" w:cstheme="minorBidi"/>
      <w:sz w:val="24"/>
      <w:szCs w:val="24"/>
      <w:lang w:eastAsia="ru-RU"/>
    </w:rPr>
  </w:style>
  <w:style w:type="paragraph" w:styleId="8">
    <w:name w:val="toc 8"/>
    <w:basedOn w:val="a0"/>
    <w:next w:val="a0"/>
    <w:autoRedefine/>
    <w:uiPriority w:val="39"/>
    <w:unhideWhenUsed/>
    <w:locked/>
    <w:rsid w:val="00133BC5"/>
    <w:pPr>
      <w:spacing w:before="120" w:after="100"/>
      <w:ind w:left="1540"/>
      <w:jc w:val="both"/>
    </w:pPr>
    <w:rPr>
      <w:rFonts w:asciiTheme="minorHAnsi" w:eastAsiaTheme="minorEastAsia" w:hAnsiTheme="minorHAnsi" w:cstheme="minorBidi"/>
      <w:sz w:val="24"/>
      <w:szCs w:val="24"/>
      <w:lang w:eastAsia="ru-RU"/>
    </w:rPr>
  </w:style>
  <w:style w:type="paragraph" w:styleId="9">
    <w:name w:val="toc 9"/>
    <w:basedOn w:val="a0"/>
    <w:next w:val="a0"/>
    <w:autoRedefine/>
    <w:uiPriority w:val="39"/>
    <w:unhideWhenUsed/>
    <w:locked/>
    <w:rsid w:val="00133BC5"/>
    <w:pPr>
      <w:spacing w:before="120" w:after="100"/>
      <w:ind w:left="1760"/>
      <w:jc w:val="both"/>
    </w:pPr>
    <w:rPr>
      <w:rFonts w:asciiTheme="minorHAnsi" w:eastAsiaTheme="minorEastAsia" w:hAnsiTheme="minorHAnsi" w:cstheme="minorBid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List Bullet 3" w:uiPriority="0" w:qFormat="1"/>
    <w:lsdException w:name="List Bullet 4"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F50154"/>
    <w:pPr>
      <w:spacing w:after="200" w:line="276" w:lineRule="auto"/>
    </w:pPr>
    <w:rPr>
      <w:sz w:val="22"/>
      <w:szCs w:val="22"/>
      <w:lang w:eastAsia="en-US"/>
    </w:rPr>
  </w:style>
  <w:style w:type="paragraph" w:styleId="10">
    <w:name w:val="heading 1"/>
    <w:basedOn w:val="a0"/>
    <w:next w:val="a0"/>
    <w:link w:val="11"/>
    <w:uiPriority w:val="99"/>
    <w:qFormat/>
    <w:rsid w:val="003B0F27"/>
    <w:pPr>
      <w:keepNext/>
      <w:keepLines/>
      <w:spacing w:before="480" w:after="0"/>
      <w:outlineLvl w:val="0"/>
    </w:pPr>
    <w:rPr>
      <w:rFonts w:ascii="Times New Roman" w:eastAsia="Times New Roman" w:hAnsi="Times New Roman"/>
      <w:b/>
      <w:bCs/>
      <w:sz w:val="32"/>
      <w:szCs w:val="28"/>
    </w:rPr>
  </w:style>
  <w:style w:type="paragraph" w:styleId="20">
    <w:name w:val="heading 2"/>
    <w:basedOn w:val="a0"/>
    <w:next w:val="a0"/>
    <w:link w:val="21"/>
    <w:uiPriority w:val="99"/>
    <w:qFormat/>
    <w:rsid w:val="003B0F27"/>
    <w:pPr>
      <w:keepNext/>
      <w:keepLines/>
      <w:spacing w:before="200" w:after="0"/>
      <w:outlineLvl w:val="1"/>
    </w:pPr>
    <w:rPr>
      <w:rFonts w:ascii="Cambria" w:eastAsia="Times New Roman" w:hAnsi="Cambria"/>
      <w:b/>
      <w:bCs/>
      <w:sz w:val="26"/>
      <w:szCs w:val="26"/>
    </w:rPr>
  </w:style>
  <w:style w:type="paragraph" w:styleId="30">
    <w:name w:val="heading 3"/>
    <w:basedOn w:val="a0"/>
    <w:next w:val="a0"/>
    <w:link w:val="31"/>
    <w:uiPriority w:val="99"/>
    <w:qFormat/>
    <w:rsid w:val="00EC2282"/>
    <w:pPr>
      <w:keepNext/>
      <w:keepLines/>
      <w:spacing w:before="200" w:after="0"/>
      <w:outlineLvl w:val="2"/>
    </w:pPr>
    <w:rPr>
      <w:rFonts w:ascii="Cambria" w:eastAsia="Times New Roman" w:hAnsi="Cambria"/>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3B0F27"/>
    <w:rPr>
      <w:rFonts w:ascii="Times New Roman" w:hAnsi="Times New Roman" w:cs="Times New Roman"/>
      <w:b/>
      <w:bCs/>
      <w:sz w:val="28"/>
      <w:szCs w:val="28"/>
    </w:rPr>
  </w:style>
  <w:style w:type="character" w:customStyle="1" w:styleId="21">
    <w:name w:val="Заголовок 2 Знак"/>
    <w:link w:val="20"/>
    <w:uiPriority w:val="99"/>
    <w:locked/>
    <w:rsid w:val="003B0F27"/>
    <w:rPr>
      <w:rFonts w:ascii="Cambria" w:hAnsi="Cambria" w:cs="Times New Roman"/>
      <w:b/>
      <w:bCs/>
      <w:sz w:val="26"/>
      <w:szCs w:val="26"/>
    </w:rPr>
  </w:style>
  <w:style w:type="character" w:customStyle="1" w:styleId="31">
    <w:name w:val="Заголовок 3 Знак"/>
    <w:link w:val="30"/>
    <w:uiPriority w:val="99"/>
    <w:locked/>
    <w:rsid w:val="00EC2282"/>
    <w:rPr>
      <w:rFonts w:ascii="Cambria" w:hAnsi="Cambria" w:cs="Times New Roman"/>
      <w:b/>
      <w:bCs/>
    </w:rPr>
  </w:style>
  <w:style w:type="table" w:styleId="a4">
    <w:name w:val="Table Grid"/>
    <w:basedOn w:val="a2"/>
    <w:uiPriority w:val="59"/>
    <w:rsid w:val="005B3A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rsid w:val="005B41E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5B41E6"/>
    <w:rPr>
      <w:rFonts w:ascii="Tahoma" w:hAnsi="Tahoma" w:cs="Tahoma"/>
      <w:sz w:val="16"/>
      <w:szCs w:val="16"/>
    </w:rPr>
  </w:style>
  <w:style w:type="paragraph" w:styleId="a7">
    <w:name w:val="footnote text"/>
    <w:aliases w:val="Текст сноски-FN,Table_Footnote_last,single space,footnote text,Footnote Text Char Char,Footnote Text Char Char Char Char,Footnote Text1,Footnote Text Char Char Char,Footnote Text Char,Footnote Text Char Знак,Footnote Text Char Знак Знак"/>
    <w:basedOn w:val="a0"/>
    <w:link w:val="a8"/>
    <w:uiPriority w:val="99"/>
    <w:rsid w:val="00516506"/>
    <w:pPr>
      <w:spacing w:after="0" w:line="240" w:lineRule="auto"/>
    </w:pPr>
    <w:rPr>
      <w:sz w:val="20"/>
      <w:szCs w:val="20"/>
    </w:rPr>
  </w:style>
  <w:style w:type="character" w:customStyle="1" w:styleId="a8">
    <w:name w:val="Текст сноски Знак"/>
    <w:aliases w:val="Текст сноски-FN Знак,Table_Footnote_last Знак,single space Знак,footnote text Знак,Footnote Text Char Char Знак,Footnote Text Char Char Char Char Знак,Footnote Text1 Знак,Footnote Text Char Char Char Знак,Footnote Text Char Знак1"/>
    <w:link w:val="a7"/>
    <w:uiPriority w:val="99"/>
    <w:locked/>
    <w:rsid w:val="00516506"/>
    <w:rPr>
      <w:rFonts w:cs="Times New Roman"/>
      <w:sz w:val="20"/>
      <w:szCs w:val="20"/>
    </w:rPr>
  </w:style>
  <w:style w:type="character" w:styleId="a9">
    <w:name w:val="footnote reference"/>
    <w:aliases w:val="Знак сноски-FN,Ciae niinee-FN,SUPERS,Знак сноски 1"/>
    <w:uiPriority w:val="99"/>
    <w:rsid w:val="00516506"/>
    <w:rPr>
      <w:rFonts w:cs="Times New Roman"/>
      <w:vertAlign w:val="superscript"/>
    </w:rPr>
  </w:style>
  <w:style w:type="paragraph" w:styleId="aa">
    <w:name w:val="List Paragraph"/>
    <w:basedOn w:val="a0"/>
    <w:link w:val="ab"/>
    <w:uiPriority w:val="34"/>
    <w:qFormat/>
    <w:rsid w:val="00793803"/>
    <w:pPr>
      <w:ind w:left="720"/>
      <w:contextualSpacing/>
    </w:pPr>
  </w:style>
  <w:style w:type="paragraph" w:customStyle="1" w:styleId="ConsPlusNormal">
    <w:name w:val="ConsPlusNormal"/>
    <w:uiPriority w:val="99"/>
    <w:rsid w:val="00242FB0"/>
    <w:pPr>
      <w:autoSpaceDE w:val="0"/>
      <w:autoSpaceDN w:val="0"/>
      <w:adjustRightInd w:val="0"/>
    </w:pPr>
    <w:rPr>
      <w:rFonts w:ascii="Times New Roman" w:hAnsi="Times New Roman"/>
      <w:sz w:val="28"/>
      <w:szCs w:val="28"/>
      <w:lang w:eastAsia="en-US"/>
    </w:rPr>
  </w:style>
  <w:style w:type="paragraph" w:styleId="ac">
    <w:name w:val="header"/>
    <w:basedOn w:val="a0"/>
    <w:link w:val="ad"/>
    <w:uiPriority w:val="99"/>
    <w:rsid w:val="00742731"/>
    <w:pPr>
      <w:tabs>
        <w:tab w:val="center" w:pos="4677"/>
        <w:tab w:val="right" w:pos="9355"/>
      </w:tabs>
      <w:spacing w:after="0" w:line="240" w:lineRule="auto"/>
    </w:pPr>
  </w:style>
  <w:style w:type="character" w:customStyle="1" w:styleId="ad">
    <w:name w:val="Верхний колонтитул Знак"/>
    <w:link w:val="ac"/>
    <w:uiPriority w:val="99"/>
    <w:locked/>
    <w:rsid w:val="00742731"/>
    <w:rPr>
      <w:rFonts w:cs="Times New Roman"/>
    </w:rPr>
  </w:style>
  <w:style w:type="paragraph" w:styleId="ae">
    <w:name w:val="footer"/>
    <w:basedOn w:val="a0"/>
    <w:link w:val="af"/>
    <w:uiPriority w:val="99"/>
    <w:rsid w:val="00742731"/>
    <w:pPr>
      <w:tabs>
        <w:tab w:val="center" w:pos="4677"/>
        <w:tab w:val="right" w:pos="9355"/>
      </w:tabs>
      <w:spacing w:after="0" w:line="240" w:lineRule="auto"/>
    </w:pPr>
  </w:style>
  <w:style w:type="character" w:customStyle="1" w:styleId="af">
    <w:name w:val="Нижний колонтитул Знак"/>
    <w:link w:val="ae"/>
    <w:uiPriority w:val="99"/>
    <w:locked/>
    <w:rsid w:val="00742731"/>
    <w:rPr>
      <w:rFonts w:cs="Times New Roman"/>
    </w:rPr>
  </w:style>
  <w:style w:type="paragraph" w:styleId="af0">
    <w:name w:val="No Spacing"/>
    <w:link w:val="af1"/>
    <w:uiPriority w:val="99"/>
    <w:qFormat/>
    <w:rsid w:val="00A80C45"/>
    <w:rPr>
      <w:rFonts w:eastAsia="Times New Roman"/>
      <w:sz w:val="22"/>
      <w:szCs w:val="22"/>
      <w:lang w:val="en-US" w:eastAsia="en-US"/>
    </w:rPr>
  </w:style>
  <w:style w:type="character" w:customStyle="1" w:styleId="af1">
    <w:name w:val="Без интервала Знак"/>
    <w:link w:val="af0"/>
    <w:uiPriority w:val="99"/>
    <w:locked/>
    <w:rsid w:val="00A80C45"/>
    <w:rPr>
      <w:rFonts w:eastAsia="Times New Roman" w:cs="Times New Roman"/>
      <w:sz w:val="22"/>
      <w:szCs w:val="22"/>
      <w:lang w:val="en-US" w:eastAsia="en-US" w:bidi="ar-SA"/>
    </w:rPr>
  </w:style>
  <w:style w:type="paragraph" w:styleId="af2">
    <w:name w:val="TOC Heading"/>
    <w:basedOn w:val="10"/>
    <w:next w:val="a0"/>
    <w:uiPriority w:val="99"/>
    <w:qFormat/>
    <w:rsid w:val="00A80C45"/>
    <w:pPr>
      <w:spacing w:before="240" w:line="259" w:lineRule="auto"/>
      <w:outlineLvl w:val="9"/>
    </w:pPr>
    <w:rPr>
      <w:b w:val="0"/>
      <w:bCs w:val="0"/>
      <w:szCs w:val="32"/>
      <w:lang w:val="en-US"/>
    </w:rPr>
  </w:style>
  <w:style w:type="paragraph" w:styleId="22">
    <w:name w:val="toc 2"/>
    <w:basedOn w:val="a0"/>
    <w:next w:val="a0"/>
    <w:autoRedefine/>
    <w:uiPriority w:val="39"/>
    <w:rsid w:val="000607B9"/>
    <w:pPr>
      <w:tabs>
        <w:tab w:val="left" w:pos="880"/>
        <w:tab w:val="right" w:leader="dot" w:pos="9062"/>
      </w:tabs>
      <w:spacing w:after="120" w:line="312" w:lineRule="auto"/>
      <w:ind w:left="221"/>
    </w:pPr>
  </w:style>
  <w:style w:type="character" w:styleId="af3">
    <w:name w:val="Hyperlink"/>
    <w:uiPriority w:val="99"/>
    <w:rsid w:val="00A80C45"/>
    <w:rPr>
      <w:rFonts w:cs="Times New Roman"/>
      <w:color w:val="0000FF"/>
      <w:u w:val="single"/>
    </w:rPr>
  </w:style>
  <w:style w:type="paragraph" w:styleId="12">
    <w:name w:val="toc 1"/>
    <w:basedOn w:val="a0"/>
    <w:next w:val="a0"/>
    <w:autoRedefine/>
    <w:uiPriority w:val="39"/>
    <w:rsid w:val="00F96D25"/>
    <w:pPr>
      <w:tabs>
        <w:tab w:val="right" w:leader="dot" w:pos="9062"/>
      </w:tabs>
      <w:spacing w:after="100"/>
    </w:pPr>
  </w:style>
  <w:style w:type="paragraph" w:styleId="af4">
    <w:name w:val="endnote text"/>
    <w:basedOn w:val="a0"/>
    <w:link w:val="af5"/>
    <w:uiPriority w:val="99"/>
    <w:semiHidden/>
    <w:rsid w:val="00365A45"/>
    <w:pPr>
      <w:spacing w:after="0" w:line="240" w:lineRule="auto"/>
    </w:pPr>
    <w:rPr>
      <w:sz w:val="20"/>
      <w:szCs w:val="20"/>
    </w:rPr>
  </w:style>
  <w:style w:type="character" w:customStyle="1" w:styleId="af5">
    <w:name w:val="Текст концевой сноски Знак"/>
    <w:link w:val="af4"/>
    <w:uiPriority w:val="99"/>
    <w:semiHidden/>
    <w:locked/>
    <w:rsid w:val="00365A45"/>
    <w:rPr>
      <w:rFonts w:cs="Times New Roman"/>
      <w:sz w:val="20"/>
      <w:szCs w:val="20"/>
    </w:rPr>
  </w:style>
  <w:style w:type="character" w:styleId="af6">
    <w:name w:val="endnote reference"/>
    <w:uiPriority w:val="99"/>
    <w:semiHidden/>
    <w:rsid w:val="00365A45"/>
    <w:rPr>
      <w:rFonts w:cs="Times New Roman"/>
      <w:vertAlign w:val="superscript"/>
    </w:rPr>
  </w:style>
  <w:style w:type="character" w:styleId="af7">
    <w:name w:val="annotation reference"/>
    <w:uiPriority w:val="99"/>
    <w:semiHidden/>
    <w:rsid w:val="001D67D3"/>
    <w:rPr>
      <w:rFonts w:cs="Times New Roman"/>
      <w:sz w:val="16"/>
      <w:szCs w:val="16"/>
    </w:rPr>
  </w:style>
  <w:style w:type="paragraph" w:styleId="af8">
    <w:name w:val="annotation text"/>
    <w:basedOn w:val="a0"/>
    <w:link w:val="af9"/>
    <w:uiPriority w:val="99"/>
    <w:semiHidden/>
    <w:rsid w:val="001D67D3"/>
    <w:pPr>
      <w:spacing w:line="240" w:lineRule="auto"/>
    </w:pPr>
    <w:rPr>
      <w:sz w:val="20"/>
      <w:szCs w:val="20"/>
    </w:rPr>
  </w:style>
  <w:style w:type="character" w:customStyle="1" w:styleId="af9">
    <w:name w:val="Текст примечания Знак"/>
    <w:link w:val="af8"/>
    <w:uiPriority w:val="99"/>
    <w:semiHidden/>
    <w:locked/>
    <w:rsid w:val="001D67D3"/>
    <w:rPr>
      <w:rFonts w:cs="Times New Roman"/>
      <w:sz w:val="20"/>
      <w:szCs w:val="20"/>
    </w:rPr>
  </w:style>
  <w:style w:type="paragraph" w:styleId="afa">
    <w:name w:val="annotation subject"/>
    <w:basedOn w:val="af8"/>
    <w:next w:val="af8"/>
    <w:link w:val="afb"/>
    <w:uiPriority w:val="99"/>
    <w:semiHidden/>
    <w:rsid w:val="001D67D3"/>
    <w:rPr>
      <w:b/>
      <w:bCs/>
    </w:rPr>
  </w:style>
  <w:style w:type="character" w:customStyle="1" w:styleId="afb">
    <w:name w:val="Тема примечания Знак"/>
    <w:link w:val="afa"/>
    <w:uiPriority w:val="99"/>
    <w:semiHidden/>
    <w:locked/>
    <w:rsid w:val="001D67D3"/>
    <w:rPr>
      <w:rFonts w:cs="Times New Roman"/>
      <w:b/>
      <w:bCs/>
      <w:sz w:val="20"/>
      <w:szCs w:val="20"/>
    </w:rPr>
  </w:style>
  <w:style w:type="paragraph" w:customStyle="1" w:styleId="TabText">
    <w:name w:val="Tab_Text"/>
    <w:aliases w:val="Black,Normal + HelveticaNeue LT 55 Roman,10 pt,Justified"/>
    <w:link w:val="TabTextChar"/>
    <w:rsid w:val="00E65DE3"/>
    <w:rPr>
      <w:rFonts w:ascii="HelveticaNeue LT 55 Roman" w:eastAsia="Times New Roman" w:hAnsi="HelveticaNeue LT 55 Roman" w:cs="HelveticaNeue LT 55 Roman"/>
      <w:sz w:val="14"/>
      <w:szCs w:val="14"/>
      <w:lang w:val="en-GB" w:bidi="ml-IN"/>
    </w:rPr>
  </w:style>
  <w:style w:type="character" w:customStyle="1" w:styleId="TabTextChar">
    <w:name w:val="Tab_Text Char"/>
    <w:aliases w:val="Black Char"/>
    <w:link w:val="TabText"/>
    <w:locked/>
    <w:rsid w:val="00E65DE3"/>
    <w:rPr>
      <w:rFonts w:ascii="HelveticaNeue LT 55 Roman" w:hAnsi="HelveticaNeue LT 55 Roman"/>
      <w:sz w:val="14"/>
      <w:lang w:val="en-GB"/>
    </w:rPr>
  </w:style>
  <w:style w:type="paragraph" w:customStyle="1" w:styleId="SourceLarge">
    <w:name w:val="SourceLarge"/>
    <w:next w:val="a0"/>
    <w:link w:val="SourceLargeChar"/>
    <w:rsid w:val="00E65DE3"/>
    <w:pPr>
      <w:suppressAutoHyphens/>
      <w:spacing w:after="360" w:line="160" w:lineRule="atLeast"/>
    </w:pPr>
    <w:rPr>
      <w:rFonts w:ascii="HelveticaNeue LT 65 Medium" w:eastAsia="Times New Roman" w:hAnsi="HelveticaNeue LT 65 Medium" w:cs="HelveticaNeue LT 65 Medium"/>
      <w:sz w:val="11"/>
      <w:szCs w:val="11"/>
      <w:lang w:val="en-GB" w:bidi="ml-IN"/>
    </w:rPr>
  </w:style>
  <w:style w:type="character" w:customStyle="1" w:styleId="SourceLargeChar">
    <w:name w:val="SourceLarge Char"/>
    <w:link w:val="SourceLarge"/>
    <w:locked/>
    <w:rsid w:val="00E65DE3"/>
    <w:rPr>
      <w:rFonts w:ascii="HelveticaNeue LT 65 Medium" w:hAnsi="HelveticaNeue LT 65 Medium"/>
      <w:sz w:val="11"/>
      <w:lang w:val="en-GB"/>
    </w:rPr>
  </w:style>
  <w:style w:type="paragraph" w:customStyle="1" w:styleId="GraphTitle">
    <w:name w:val="Graph_Title"/>
    <w:basedOn w:val="a0"/>
    <w:link w:val="GraphTitleChar"/>
    <w:rsid w:val="00E65DE3"/>
    <w:pPr>
      <w:suppressAutoHyphens/>
      <w:spacing w:before="120" w:after="40" w:line="240" w:lineRule="auto"/>
    </w:pPr>
    <w:rPr>
      <w:rFonts w:ascii="HelveticaNeue LT 65 Medium" w:eastAsia="Times New Roman" w:hAnsi="HelveticaNeue LT 65 Medium" w:cs="HelveticaNeue LT 65 Medium"/>
      <w:sz w:val="17"/>
      <w:szCs w:val="17"/>
      <w:lang w:val="en-GB" w:eastAsia="ru-RU" w:bidi="ml-IN"/>
    </w:rPr>
  </w:style>
  <w:style w:type="character" w:customStyle="1" w:styleId="GraphTitleChar">
    <w:name w:val="Graph_Title Char"/>
    <w:link w:val="GraphTitle"/>
    <w:locked/>
    <w:rsid w:val="00E65DE3"/>
    <w:rPr>
      <w:rFonts w:ascii="HelveticaNeue LT 65 Medium" w:hAnsi="HelveticaNeue LT 65 Medium"/>
      <w:sz w:val="17"/>
      <w:lang w:val="en-GB"/>
    </w:rPr>
  </w:style>
  <w:style w:type="table" w:customStyle="1" w:styleId="28">
    <w:name w:val="28"/>
    <w:uiPriority w:val="99"/>
    <w:pPr>
      <w:widowControl w:val="0"/>
      <w:autoSpaceDE w:val="0"/>
      <w:autoSpaceDN w:val="0"/>
      <w:adjustRightInd w:val="0"/>
    </w:pPr>
    <w:rPr>
      <w:rFonts w:ascii="Times New Roman" w:eastAsia="Times New Roman" w:hAnsi="Times New Roman"/>
      <w:sz w:val="24"/>
      <w:szCs w:val="24"/>
    </w:rPr>
    <w:tblPr>
      <w:tblInd w:w="2608" w:type="dxa"/>
      <w:tblCellMar>
        <w:top w:w="0" w:type="dxa"/>
        <w:left w:w="0" w:type="dxa"/>
        <w:bottom w:w="0" w:type="dxa"/>
        <w:right w:w="0" w:type="dxa"/>
      </w:tblCellMar>
    </w:tblPr>
  </w:style>
  <w:style w:type="paragraph" w:styleId="afc">
    <w:name w:val="Revision"/>
    <w:hidden/>
    <w:uiPriority w:val="99"/>
    <w:semiHidden/>
    <w:rsid w:val="009A7C9A"/>
    <w:rPr>
      <w:sz w:val="22"/>
      <w:szCs w:val="22"/>
      <w:lang w:eastAsia="en-US"/>
    </w:rPr>
  </w:style>
  <w:style w:type="paragraph" w:styleId="afd">
    <w:name w:val="Normal (Web)"/>
    <w:basedOn w:val="a0"/>
    <w:uiPriority w:val="99"/>
    <w:semiHidden/>
    <w:rsid w:val="009C27DD"/>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1">
    <w:name w:val="Таблица простая 41"/>
    <w:uiPriority w:val="99"/>
    <w:rsid w:val="004A0A82"/>
    <w:tblPr>
      <w:tblStyleRowBandSize w:val="1"/>
      <w:tblStyleColBandSize w:val="1"/>
      <w:tblInd w:w="0" w:type="dxa"/>
      <w:tblCellMar>
        <w:top w:w="0" w:type="dxa"/>
        <w:left w:w="108" w:type="dxa"/>
        <w:bottom w:w="0" w:type="dxa"/>
        <w:right w:w="108" w:type="dxa"/>
      </w:tblCellMar>
    </w:tblPr>
  </w:style>
  <w:style w:type="character" w:styleId="afe">
    <w:name w:val="Placeholder Text"/>
    <w:uiPriority w:val="99"/>
    <w:semiHidden/>
    <w:rsid w:val="00F255E5"/>
    <w:rPr>
      <w:rFonts w:cs="Times New Roman"/>
      <w:color w:val="808080"/>
    </w:rPr>
  </w:style>
  <w:style w:type="paragraph" w:styleId="32">
    <w:name w:val="toc 3"/>
    <w:basedOn w:val="a0"/>
    <w:next w:val="a0"/>
    <w:autoRedefine/>
    <w:uiPriority w:val="39"/>
    <w:rsid w:val="002D1C3F"/>
    <w:pPr>
      <w:spacing w:after="100"/>
      <w:ind w:left="440"/>
    </w:pPr>
  </w:style>
  <w:style w:type="paragraph" w:customStyle="1" w:styleId="ConsPlusTitle">
    <w:name w:val="ConsPlusTitle"/>
    <w:uiPriority w:val="99"/>
    <w:rsid w:val="00A17F02"/>
    <w:pPr>
      <w:widowControl w:val="0"/>
      <w:autoSpaceDE w:val="0"/>
      <w:autoSpaceDN w:val="0"/>
      <w:adjustRightInd w:val="0"/>
    </w:pPr>
    <w:rPr>
      <w:rFonts w:ascii="Times New Roman" w:eastAsia="Times New Roman" w:hAnsi="Times New Roman"/>
      <w:b/>
      <w:bCs/>
      <w:sz w:val="24"/>
      <w:szCs w:val="24"/>
    </w:rPr>
  </w:style>
  <w:style w:type="character" w:customStyle="1" w:styleId="CharStyle6">
    <w:name w:val="Char Style 6"/>
    <w:link w:val="Style4"/>
    <w:uiPriority w:val="99"/>
    <w:locked/>
    <w:rsid w:val="00A17F02"/>
    <w:rPr>
      <w:rFonts w:cs="Times New Roman"/>
      <w:shd w:val="clear" w:color="auto" w:fill="FFFFFF"/>
    </w:rPr>
  </w:style>
  <w:style w:type="paragraph" w:customStyle="1" w:styleId="Style4">
    <w:name w:val="Style 4"/>
    <w:basedOn w:val="a0"/>
    <w:link w:val="CharStyle6"/>
    <w:uiPriority w:val="99"/>
    <w:rsid w:val="00A17F02"/>
    <w:pPr>
      <w:widowControl w:val="0"/>
      <w:shd w:val="clear" w:color="auto" w:fill="FFFFFF"/>
      <w:spacing w:after="0" w:line="336" w:lineRule="exact"/>
      <w:jc w:val="center"/>
    </w:pPr>
  </w:style>
  <w:style w:type="paragraph" w:customStyle="1" w:styleId="Style8">
    <w:name w:val="Style8"/>
    <w:basedOn w:val="a0"/>
    <w:uiPriority w:val="99"/>
    <w:rsid w:val="0080098C"/>
    <w:pPr>
      <w:widowControl w:val="0"/>
      <w:autoSpaceDE w:val="0"/>
      <w:autoSpaceDN w:val="0"/>
      <w:adjustRightInd w:val="0"/>
      <w:spacing w:after="0" w:line="369" w:lineRule="exact"/>
      <w:ind w:firstLine="698"/>
      <w:jc w:val="both"/>
    </w:pPr>
    <w:rPr>
      <w:rFonts w:ascii="Times New Roman" w:hAnsi="Times New Roman"/>
      <w:sz w:val="24"/>
      <w:szCs w:val="24"/>
      <w:lang w:eastAsia="ru-RU"/>
    </w:rPr>
  </w:style>
  <w:style w:type="character" w:customStyle="1" w:styleId="FontStyle23">
    <w:name w:val="Font Style23"/>
    <w:uiPriority w:val="99"/>
    <w:rsid w:val="0080098C"/>
    <w:rPr>
      <w:rFonts w:ascii="Times New Roman" w:hAnsi="Times New Roman"/>
      <w:sz w:val="24"/>
    </w:rPr>
  </w:style>
  <w:style w:type="numbering" w:customStyle="1" w:styleId="2">
    <w:name w:val="Стиль2"/>
    <w:rsid w:val="00373920"/>
    <w:pPr>
      <w:numPr>
        <w:numId w:val="2"/>
      </w:numPr>
    </w:pPr>
  </w:style>
  <w:style w:type="numbering" w:customStyle="1" w:styleId="1">
    <w:name w:val="Стиль1"/>
    <w:rsid w:val="00373920"/>
    <w:pPr>
      <w:numPr>
        <w:numId w:val="1"/>
      </w:numPr>
    </w:pPr>
  </w:style>
  <w:style w:type="paragraph" w:customStyle="1" w:styleId="aff">
    <w:name w:val="Обычный текст"/>
    <w:basedOn w:val="a0"/>
    <w:link w:val="aff0"/>
    <w:qFormat/>
    <w:rsid w:val="007867FE"/>
    <w:pPr>
      <w:spacing w:after="0" w:line="360" w:lineRule="auto"/>
      <w:ind w:firstLine="709"/>
      <w:jc w:val="both"/>
    </w:pPr>
    <w:rPr>
      <w:rFonts w:ascii="Times New Roman" w:eastAsia="Times New Roman" w:hAnsi="Times New Roman"/>
      <w:sz w:val="24"/>
      <w:szCs w:val="24"/>
      <w:lang w:eastAsia="ru-RU"/>
    </w:rPr>
  </w:style>
  <w:style w:type="character" w:customStyle="1" w:styleId="aff0">
    <w:name w:val="Обычный текст Знак"/>
    <w:link w:val="aff"/>
    <w:rsid w:val="007867FE"/>
    <w:rPr>
      <w:rFonts w:ascii="Times New Roman" w:eastAsia="Times New Roman" w:hAnsi="Times New Roman"/>
      <w:sz w:val="24"/>
      <w:szCs w:val="24"/>
    </w:rPr>
  </w:style>
  <w:style w:type="paragraph" w:customStyle="1" w:styleId="aff1">
    <w:name w:val="Рисунок примечание"/>
    <w:basedOn w:val="a0"/>
    <w:link w:val="aff2"/>
    <w:qFormat/>
    <w:rsid w:val="007867FE"/>
    <w:pPr>
      <w:keepNext/>
      <w:keepLines/>
      <w:spacing w:before="20" w:after="0" w:line="240" w:lineRule="auto"/>
      <w:ind w:firstLine="709"/>
    </w:pPr>
    <w:rPr>
      <w:rFonts w:ascii="Times New Roman" w:eastAsia="Times New Roman" w:hAnsi="Times New Roman"/>
      <w:i/>
      <w:sz w:val="20"/>
      <w:szCs w:val="20"/>
    </w:rPr>
  </w:style>
  <w:style w:type="character" w:customStyle="1" w:styleId="aff2">
    <w:name w:val="Рисунок примечание Знак"/>
    <w:link w:val="aff1"/>
    <w:rsid w:val="007867FE"/>
    <w:rPr>
      <w:rFonts w:ascii="Times New Roman" w:eastAsia="Times New Roman" w:hAnsi="Times New Roman"/>
      <w:i/>
      <w:sz w:val="20"/>
      <w:szCs w:val="20"/>
      <w:lang w:eastAsia="en-US"/>
    </w:rPr>
  </w:style>
  <w:style w:type="paragraph" w:customStyle="1" w:styleId="-">
    <w:name w:val="Рисунок - название"/>
    <w:basedOn w:val="a0"/>
    <w:link w:val="-0"/>
    <w:qFormat/>
    <w:rsid w:val="007867FE"/>
    <w:pPr>
      <w:keepNext/>
      <w:keepLines/>
      <w:tabs>
        <w:tab w:val="num" w:pos="0"/>
      </w:tabs>
      <w:spacing w:before="60" w:after="240" w:line="360" w:lineRule="auto"/>
      <w:ind w:left="709"/>
      <w:jc w:val="center"/>
    </w:pPr>
    <w:rPr>
      <w:rFonts w:ascii="Times New Roman" w:eastAsia="Times New Roman" w:hAnsi="Times New Roman"/>
      <w:b/>
      <w:sz w:val="24"/>
      <w:szCs w:val="24"/>
      <w:lang w:eastAsia="ru-RU"/>
    </w:rPr>
  </w:style>
  <w:style w:type="character" w:customStyle="1" w:styleId="-0">
    <w:name w:val="Рисунок - название Знак"/>
    <w:link w:val="-"/>
    <w:rsid w:val="007867FE"/>
    <w:rPr>
      <w:rFonts w:ascii="Times New Roman" w:eastAsia="Times New Roman" w:hAnsi="Times New Roman"/>
      <w:b/>
      <w:sz w:val="24"/>
      <w:szCs w:val="24"/>
    </w:rPr>
  </w:style>
  <w:style w:type="paragraph" w:customStyle="1" w:styleId="Default">
    <w:name w:val="Default"/>
    <w:rsid w:val="00776499"/>
    <w:pPr>
      <w:autoSpaceDE w:val="0"/>
      <w:autoSpaceDN w:val="0"/>
      <w:adjustRightInd w:val="0"/>
    </w:pPr>
    <w:rPr>
      <w:rFonts w:ascii="Times New Roman" w:hAnsi="Times New Roman"/>
      <w:color w:val="000000"/>
      <w:sz w:val="24"/>
      <w:szCs w:val="24"/>
    </w:rPr>
  </w:style>
  <w:style w:type="table" w:customStyle="1" w:styleId="Smalltable">
    <w:name w:val="Small table"/>
    <w:basedOn w:val="a2"/>
    <w:rsid w:val="005609BB"/>
    <w:pPr>
      <w:jc w:val="both"/>
    </w:pPr>
    <w:rPr>
      <w:rFonts w:ascii="HelveticaNeue LT 65 Medium" w:eastAsia="Times New Roman" w:hAnsi="HelveticaNeue LT 65 Medium"/>
      <w:sz w:val="14"/>
      <w:szCs w:val="14"/>
      <w:lang w:val="en-US" w:eastAsia="en-US"/>
    </w:rPr>
    <w:tblPr>
      <w:tblInd w:w="2608" w:type="dxa"/>
      <w:tblCellMar>
        <w:top w:w="0" w:type="dxa"/>
        <w:left w:w="0" w:type="dxa"/>
        <w:bottom w:w="0" w:type="dxa"/>
        <w:right w:w="0" w:type="dxa"/>
      </w:tblCellMar>
    </w:tblPr>
    <w:tcPr>
      <w:tcMar>
        <w:left w:w="28" w:type="dxa"/>
        <w:right w:w="28" w:type="dxa"/>
      </w:tcMar>
    </w:tcPr>
  </w:style>
  <w:style w:type="table" w:styleId="aff3">
    <w:name w:val="Light Shading"/>
    <w:basedOn w:val="a2"/>
    <w:uiPriority w:val="60"/>
    <w:rsid w:val="00AA1BF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f4">
    <w:name w:val="Emphasis"/>
    <w:basedOn w:val="a1"/>
    <w:qFormat/>
    <w:locked/>
    <w:rsid w:val="003A5E48"/>
    <w:rPr>
      <w:i/>
      <w:iCs/>
    </w:rPr>
  </w:style>
  <w:style w:type="character" w:customStyle="1" w:styleId="CharStyle11">
    <w:name w:val="Char Style 11"/>
    <w:basedOn w:val="a1"/>
    <w:link w:val="Style10"/>
    <w:uiPriority w:val="99"/>
    <w:locked/>
    <w:rsid w:val="00675B8E"/>
    <w:rPr>
      <w:sz w:val="23"/>
      <w:szCs w:val="23"/>
      <w:shd w:val="clear" w:color="auto" w:fill="FFFFFF"/>
    </w:rPr>
  </w:style>
  <w:style w:type="character" w:customStyle="1" w:styleId="CharStyle450">
    <w:name w:val="Char Style 450"/>
    <w:basedOn w:val="CharStyle11"/>
    <w:uiPriority w:val="99"/>
    <w:rsid w:val="00675B8E"/>
    <w:rPr>
      <w:b/>
      <w:bCs/>
      <w:sz w:val="19"/>
      <w:szCs w:val="19"/>
      <w:shd w:val="clear" w:color="auto" w:fill="FFFFFF"/>
    </w:rPr>
  </w:style>
  <w:style w:type="paragraph" w:customStyle="1" w:styleId="Style10">
    <w:name w:val="Style 10"/>
    <w:basedOn w:val="a0"/>
    <w:link w:val="CharStyle11"/>
    <w:uiPriority w:val="99"/>
    <w:rsid w:val="00675B8E"/>
    <w:pPr>
      <w:widowControl w:val="0"/>
      <w:shd w:val="clear" w:color="auto" w:fill="FFFFFF"/>
      <w:spacing w:before="3480" w:after="0" w:line="240" w:lineRule="atLeast"/>
      <w:ind w:hanging="360"/>
    </w:pPr>
    <w:rPr>
      <w:sz w:val="23"/>
      <w:szCs w:val="23"/>
      <w:lang w:eastAsia="ru-RU"/>
    </w:rPr>
  </w:style>
  <w:style w:type="character" w:customStyle="1" w:styleId="CharStyle453">
    <w:name w:val="Char Style 453"/>
    <w:basedOn w:val="CharStyle11"/>
    <w:uiPriority w:val="99"/>
    <w:rsid w:val="00675B8E"/>
    <w:rPr>
      <w:rFonts w:cs="Times New Roman"/>
      <w:sz w:val="19"/>
      <w:szCs w:val="19"/>
      <w:shd w:val="clear" w:color="auto" w:fill="FFFFFF"/>
    </w:rPr>
  </w:style>
  <w:style w:type="paragraph" w:styleId="3">
    <w:name w:val="List Bullet 3"/>
    <w:aliases w:val="FF_Bullet"/>
    <w:basedOn w:val="a0"/>
    <w:qFormat/>
    <w:rsid w:val="008036C2"/>
    <w:pPr>
      <w:numPr>
        <w:numId w:val="17"/>
      </w:numPr>
      <w:spacing w:before="120" w:after="0" w:line="280" w:lineRule="exact"/>
      <w:jc w:val="both"/>
    </w:pPr>
    <w:rPr>
      <w:rFonts w:ascii="FreeSetC" w:eastAsia="Times New Roman" w:hAnsi="FreeSetC"/>
      <w:sz w:val="19"/>
      <w:szCs w:val="16"/>
      <w:lang w:val="en-US"/>
    </w:rPr>
  </w:style>
  <w:style w:type="paragraph" w:styleId="4">
    <w:name w:val="List Bullet 4"/>
    <w:aliases w:val="FF_Subbullet"/>
    <w:basedOn w:val="a0"/>
    <w:qFormat/>
    <w:rsid w:val="008036C2"/>
    <w:pPr>
      <w:numPr>
        <w:ilvl w:val="2"/>
        <w:numId w:val="17"/>
      </w:numPr>
      <w:spacing w:before="120" w:after="0" w:line="280" w:lineRule="exact"/>
      <w:jc w:val="both"/>
    </w:pPr>
    <w:rPr>
      <w:rFonts w:ascii="FreeSetC" w:eastAsia="Times New Roman" w:hAnsi="FreeSetC"/>
      <w:sz w:val="19"/>
      <w:szCs w:val="16"/>
      <w:lang w:val="en-US"/>
    </w:rPr>
  </w:style>
  <w:style w:type="paragraph" w:customStyle="1" w:styleId="FFGhostBullet">
    <w:name w:val="FF_GhostBullet"/>
    <w:basedOn w:val="a0"/>
    <w:next w:val="3"/>
    <w:rsid w:val="008036C2"/>
    <w:pPr>
      <w:numPr>
        <w:ilvl w:val="1"/>
        <w:numId w:val="17"/>
      </w:numPr>
      <w:spacing w:before="120" w:after="0" w:line="280" w:lineRule="exact"/>
      <w:jc w:val="both"/>
    </w:pPr>
    <w:rPr>
      <w:rFonts w:ascii="FreeSetC" w:eastAsia="Times New Roman" w:hAnsi="FreeSetC"/>
      <w:sz w:val="19"/>
      <w:szCs w:val="16"/>
      <w:lang w:val="en-US"/>
    </w:rPr>
  </w:style>
  <w:style w:type="paragraph" w:customStyle="1" w:styleId="FFGhostSubbullet">
    <w:name w:val="FF_GhostSubbullet"/>
    <w:basedOn w:val="a0"/>
    <w:next w:val="4"/>
    <w:rsid w:val="008036C2"/>
    <w:pPr>
      <w:numPr>
        <w:ilvl w:val="3"/>
        <w:numId w:val="17"/>
      </w:numPr>
      <w:spacing w:before="120" w:after="0" w:line="280" w:lineRule="exact"/>
      <w:jc w:val="both"/>
    </w:pPr>
    <w:rPr>
      <w:rFonts w:ascii="FreeSetC" w:eastAsia="Times New Roman" w:hAnsi="FreeSetC"/>
      <w:sz w:val="19"/>
      <w:szCs w:val="16"/>
      <w:lang w:val="en-US"/>
    </w:rPr>
  </w:style>
  <w:style w:type="numbering" w:customStyle="1" w:styleId="FFBullets">
    <w:name w:val="FF_Bullets"/>
    <w:uiPriority w:val="99"/>
    <w:rsid w:val="008036C2"/>
    <w:pPr>
      <w:numPr>
        <w:numId w:val="17"/>
      </w:numPr>
    </w:pPr>
  </w:style>
  <w:style w:type="character" w:customStyle="1" w:styleId="ab">
    <w:name w:val="Абзац списка Знак"/>
    <w:link w:val="aa"/>
    <w:uiPriority w:val="34"/>
    <w:rsid w:val="00D02C11"/>
    <w:rPr>
      <w:sz w:val="22"/>
      <w:szCs w:val="22"/>
      <w:lang w:eastAsia="en-US"/>
    </w:rPr>
  </w:style>
  <w:style w:type="character" w:customStyle="1" w:styleId="CharStyle12">
    <w:name w:val="Char Style 12"/>
    <w:link w:val="Style6"/>
    <w:uiPriority w:val="99"/>
    <w:locked/>
    <w:rsid w:val="007903DA"/>
    <w:rPr>
      <w:sz w:val="26"/>
      <w:u w:val="none"/>
    </w:rPr>
  </w:style>
  <w:style w:type="character" w:customStyle="1" w:styleId="CharStyle5">
    <w:name w:val="Char Style 5"/>
    <w:basedOn w:val="a1"/>
    <w:uiPriority w:val="99"/>
    <w:locked/>
    <w:rsid w:val="00B724EF"/>
    <w:rPr>
      <w:rFonts w:cs="Times New Roman"/>
      <w:b/>
      <w:bCs/>
      <w:spacing w:val="-10"/>
      <w:sz w:val="26"/>
      <w:szCs w:val="26"/>
      <w:shd w:val="clear" w:color="auto" w:fill="FFFFFF"/>
    </w:rPr>
  </w:style>
  <w:style w:type="paragraph" w:styleId="23">
    <w:name w:val="Body Text 2"/>
    <w:basedOn w:val="a0"/>
    <w:link w:val="24"/>
    <w:rsid w:val="00133BC5"/>
    <w:pPr>
      <w:spacing w:before="120" w:after="120" w:line="480" w:lineRule="auto"/>
      <w:jc w:val="both"/>
    </w:pPr>
    <w:rPr>
      <w:rFonts w:ascii="Times New Roman" w:eastAsia="Times New Roman" w:hAnsi="Times New Roman"/>
      <w:sz w:val="24"/>
      <w:szCs w:val="24"/>
      <w:lang w:eastAsia="ru-RU"/>
    </w:rPr>
  </w:style>
  <w:style w:type="character" w:customStyle="1" w:styleId="24">
    <w:name w:val="Основной текст 2 Знак"/>
    <w:basedOn w:val="a1"/>
    <w:link w:val="23"/>
    <w:rsid w:val="00133BC5"/>
    <w:rPr>
      <w:rFonts w:ascii="Times New Roman" w:eastAsia="Times New Roman" w:hAnsi="Times New Roman"/>
      <w:sz w:val="24"/>
      <w:szCs w:val="24"/>
    </w:rPr>
  </w:style>
  <w:style w:type="paragraph" w:customStyle="1" w:styleId="a">
    <w:name w:val="Заголовок ОНБП"/>
    <w:basedOn w:val="10"/>
    <w:link w:val="aff5"/>
    <w:qFormat/>
    <w:rsid w:val="00133BC5"/>
    <w:pPr>
      <w:numPr>
        <w:numId w:val="22"/>
      </w:numPr>
      <w:spacing w:after="240"/>
      <w:jc w:val="both"/>
    </w:pPr>
    <w:rPr>
      <w:szCs w:val="32"/>
    </w:rPr>
  </w:style>
  <w:style w:type="paragraph" w:customStyle="1" w:styleId="13">
    <w:name w:val="Заголовок ОНБП 1 уровня"/>
    <w:basedOn w:val="20"/>
    <w:link w:val="14"/>
    <w:qFormat/>
    <w:rsid w:val="00133BC5"/>
    <w:pPr>
      <w:spacing w:before="240" w:after="240"/>
      <w:ind w:left="720" w:hanging="720"/>
      <w:jc w:val="both"/>
    </w:pPr>
    <w:rPr>
      <w:rFonts w:ascii="Times New Roman" w:hAnsi="Times New Roman"/>
      <w:color w:val="4F81BD" w:themeColor="accent1"/>
      <w:sz w:val="28"/>
      <w:szCs w:val="28"/>
    </w:rPr>
  </w:style>
  <w:style w:type="character" w:customStyle="1" w:styleId="aff5">
    <w:name w:val="Заголовок ОНБП Знак"/>
    <w:basedOn w:val="11"/>
    <w:link w:val="a"/>
    <w:rsid w:val="00133BC5"/>
    <w:rPr>
      <w:rFonts w:ascii="Times New Roman" w:eastAsia="Times New Roman" w:hAnsi="Times New Roman" w:cs="Times New Roman"/>
      <w:b/>
      <w:bCs/>
      <w:sz w:val="32"/>
      <w:szCs w:val="32"/>
      <w:lang w:eastAsia="en-US"/>
    </w:rPr>
  </w:style>
  <w:style w:type="character" w:customStyle="1" w:styleId="14">
    <w:name w:val="Заголовок ОНБП 1 уровня Знак"/>
    <w:basedOn w:val="21"/>
    <w:link w:val="13"/>
    <w:rsid w:val="00133BC5"/>
    <w:rPr>
      <w:rFonts w:ascii="Times New Roman" w:eastAsia="Times New Roman" w:hAnsi="Times New Roman" w:cs="Times New Roman"/>
      <w:b/>
      <w:bCs/>
      <w:color w:val="4F81BD" w:themeColor="accent1"/>
      <w:sz w:val="28"/>
      <w:szCs w:val="28"/>
      <w:lang w:eastAsia="en-US"/>
    </w:rPr>
  </w:style>
  <w:style w:type="character" w:customStyle="1" w:styleId="CharStyle7Exact">
    <w:name w:val="Char Style 7 Exact"/>
    <w:basedOn w:val="a1"/>
    <w:uiPriority w:val="99"/>
    <w:rsid w:val="00133BC5"/>
    <w:rPr>
      <w:rFonts w:cs="Times New Roman"/>
      <w:b/>
      <w:bCs/>
      <w:spacing w:val="-13"/>
      <w:u w:val="none"/>
    </w:rPr>
  </w:style>
  <w:style w:type="character" w:customStyle="1" w:styleId="CharStyle20">
    <w:name w:val="Char Style 20"/>
    <w:basedOn w:val="CharStyle5"/>
    <w:uiPriority w:val="99"/>
    <w:rsid w:val="00133BC5"/>
    <w:rPr>
      <w:rFonts w:cs="Times New Roman"/>
      <w:b/>
      <w:bCs/>
      <w:spacing w:val="-10"/>
      <w:sz w:val="26"/>
      <w:szCs w:val="26"/>
      <w:shd w:val="clear" w:color="auto" w:fill="FFFFFF"/>
    </w:rPr>
  </w:style>
  <w:style w:type="character" w:customStyle="1" w:styleId="CharStyle24">
    <w:name w:val="Char Style 24"/>
    <w:basedOn w:val="CharStyle5"/>
    <w:uiPriority w:val="99"/>
    <w:rsid w:val="00133BC5"/>
    <w:rPr>
      <w:rFonts w:cs="Times New Roman"/>
      <w:b w:val="0"/>
      <w:bCs w:val="0"/>
      <w:spacing w:val="0"/>
      <w:sz w:val="11"/>
      <w:szCs w:val="11"/>
      <w:shd w:val="clear" w:color="auto" w:fill="FFFFFF"/>
    </w:rPr>
  </w:style>
  <w:style w:type="character" w:customStyle="1" w:styleId="CharStyle25">
    <w:name w:val="Char Style 25"/>
    <w:basedOn w:val="CharStyle5"/>
    <w:uiPriority w:val="99"/>
    <w:rsid w:val="00133BC5"/>
    <w:rPr>
      <w:rFonts w:cs="Times New Roman"/>
      <w:b/>
      <w:bCs/>
      <w:spacing w:val="-10"/>
      <w:sz w:val="24"/>
      <w:szCs w:val="24"/>
      <w:shd w:val="clear" w:color="auto" w:fill="FFFFFF"/>
    </w:rPr>
  </w:style>
  <w:style w:type="character" w:customStyle="1" w:styleId="CharStyle26">
    <w:name w:val="Char Style 26"/>
    <w:basedOn w:val="CharStyle5"/>
    <w:uiPriority w:val="99"/>
    <w:rsid w:val="00133BC5"/>
    <w:rPr>
      <w:rFonts w:cs="Times New Roman"/>
      <w:b/>
      <w:bCs/>
      <w:spacing w:val="-10"/>
      <w:sz w:val="24"/>
      <w:szCs w:val="24"/>
      <w:u w:val="single"/>
      <w:shd w:val="clear" w:color="auto" w:fill="FFFFFF"/>
    </w:rPr>
  </w:style>
  <w:style w:type="paragraph" w:customStyle="1" w:styleId="Style6">
    <w:name w:val="Style 6"/>
    <w:basedOn w:val="a0"/>
    <w:link w:val="CharStyle12"/>
    <w:uiPriority w:val="99"/>
    <w:rsid w:val="00133BC5"/>
    <w:pPr>
      <w:widowControl w:val="0"/>
      <w:shd w:val="clear" w:color="auto" w:fill="FFFFFF"/>
      <w:spacing w:before="120" w:after="0" w:line="298" w:lineRule="exact"/>
      <w:jc w:val="both"/>
    </w:pPr>
    <w:rPr>
      <w:sz w:val="26"/>
      <w:szCs w:val="20"/>
      <w:lang w:eastAsia="ru-RU"/>
    </w:rPr>
  </w:style>
  <w:style w:type="character" w:customStyle="1" w:styleId="CharStyle3">
    <w:name w:val="Char Style 3"/>
    <w:basedOn w:val="a1"/>
    <w:link w:val="Style2"/>
    <w:uiPriority w:val="99"/>
    <w:locked/>
    <w:rsid w:val="00133BC5"/>
    <w:rPr>
      <w:b/>
      <w:bCs/>
      <w:shd w:val="clear" w:color="auto" w:fill="FFFFFF"/>
    </w:rPr>
  </w:style>
  <w:style w:type="character" w:customStyle="1" w:styleId="CharStyle27">
    <w:name w:val="Char Style 27"/>
    <w:basedOn w:val="CharStyle5"/>
    <w:uiPriority w:val="99"/>
    <w:rsid w:val="00133BC5"/>
    <w:rPr>
      <w:rFonts w:cs="Times New Roman"/>
      <w:b w:val="0"/>
      <w:bCs w:val="0"/>
      <w:spacing w:val="-10"/>
      <w:sz w:val="18"/>
      <w:szCs w:val="18"/>
      <w:u w:val="none"/>
      <w:shd w:val="clear" w:color="auto" w:fill="FFFFFF"/>
    </w:rPr>
  </w:style>
  <w:style w:type="character" w:customStyle="1" w:styleId="CharStyle28">
    <w:name w:val="Char Style 28"/>
    <w:basedOn w:val="CharStyle5"/>
    <w:uiPriority w:val="99"/>
    <w:rsid w:val="00133BC5"/>
    <w:rPr>
      <w:rFonts w:cs="Times New Roman"/>
      <w:b/>
      <w:bCs/>
      <w:spacing w:val="-10"/>
      <w:sz w:val="18"/>
      <w:szCs w:val="18"/>
      <w:u w:val="none"/>
      <w:shd w:val="clear" w:color="auto" w:fill="FFFFFF"/>
    </w:rPr>
  </w:style>
  <w:style w:type="paragraph" w:customStyle="1" w:styleId="Style2">
    <w:name w:val="Style 2"/>
    <w:basedOn w:val="a0"/>
    <w:link w:val="CharStyle3"/>
    <w:uiPriority w:val="99"/>
    <w:rsid w:val="00133BC5"/>
    <w:pPr>
      <w:widowControl w:val="0"/>
      <w:shd w:val="clear" w:color="auto" w:fill="FFFFFF"/>
      <w:spacing w:before="60" w:after="0" w:line="206" w:lineRule="exact"/>
      <w:jc w:val="center"/>
    </w:pPr>
    <w:rPr>
      <w:b/>
      <w:bCs/>
      <w:sz w:val="20"/>
      <w:szCs w:val="20"/>
      <w:lang w:eastAsia="ru-RU"/>
    </w:rPr>
  </w:style>
  <w:style w:type="character" w:customStyle="1" w:styleId="CharStyle30">
    <w:name w:val="Char Style 30"/>
    <w:basedOn w:val="a1"/>
    <w:link w:val="Style29"/>
    <w:uiPriority w:val="99"/>
    <w:locked/>
    <w:rsid w:val="00133BC5"/>
    <w:rPr>
      <w:b/>
      <w:bCs/>
      <w:spacing w:val="-20"/>
      <w:shd w:val="clear" w:color="auto" w:fill="FFFFFF"/>
    </w:rPr>
  </w:style>
  <w:style w:type="character" w:customStyle="1" w:styleId="CharStyle31">
    <w:name w:val="Char Style 31"/>
    <w:basedOn w:val="CharStyle5"/>
    <w:uiPriority w:val="99"/>
    <w:rsid w:val="00133BC5"/>
    <w:rPr>
      <w:rFonts w:cs="Times New Roman"/>
      <w:b w:val="0"/>
      <w:bCs w:val="0"/>
      <w:spacing w:val="-10"/>
      <w:sz w:val="24"/>
      <w:szCs w:val="24"/>
      <w:u w:val="none"/>
      <w:shd w:val="clear" w:color="auto" w:fill="FFFFFF"/>
    </w:rPr>
  </w:style>
  <w:style w:type="paragraph" w:customStyle="1" w:styleId="Style29">
    <w:name w:val="Style 29"/>
    <w:basedOn w:val="a0"/>
    <w:link w:val="CharStyle30"/>
    <w:uiPriority w:val="99"/>
    <w:rsid w:val="00133BC5"/>
    <w:pPr>
      <w:widowControl w:val="0"/>
      <w:shd w:val="clear" w:color="auto" w:fill="FFFFFF"/>
      <w:spacing w:before="120" w:after="360" w:line="293" w:lineRule="exact"/>
      <w:jc w:val="center"/>
    </w:pPr>
    <w:rPr>
      <w:b/>
      <w:bCs/>
      <w:spacing w:val="-20"/>
      <w:sz w:val="20"/>
      <w:szCs w:val="20"/>
      <w:lang w:eastAsia="ru-RU"/>
    </w:rPr>
  </w:style>
  <w:style w:type="paragraph" w:styleId="aff6">
    <w:name w:val="Subtitle"/>
    <w:basedOn w:val="a0"/>
    <w:next w:val="a0"/>
    <w:link w:val="aff7"/>
    <w:qFormat/>
    <w:locked/>
    <w:rsid w:val="00133BC5"/>
    <w:pPr>
      <w:spacing w:before="120" w:after="60" w:line="240" w:lineRule="auto"/>
      <w:jc w:val="center"/>
      <w:outlineLvl w:val="1"/>
    </w:pPr>
    <w:rPr>
      <w:rFonts w:ascii="Cambria" w:eastAsia="Times New Roman" w:hAnsi="Cambria"/>
      <w:sz w:val="24"/>
      <w:szCs w:val="24"/>
      <w:lang w:val="x-none" w:eastAsia="x-none"/>
    </w:rPr>
  </w:style>
  <w:style w:type="character" w:customStyle="1" w:styleId="aff7">
    <w:name w:val="Подзаголовок Знак"/>
    <w:basedOn w:val="a1"/>
    <w:link w:val="aff6"/>
    <w:rsid w:val="00133BC5"/>
    <w:rPr>
      <w:rFonts w:ascii="Cambria" w:eastAsia="Times New Roman" w:hAnsi="Cambria"/>
      <w:sz w:val="24"/>
      <w:szCs w:val="24"/>
      <w:lang w:val="x-none" w:eastAsia="x-none"/>
    </w:rPr>
  </w:style>
  <w:style w:type="character" w:customStyle="1" w:styleId="aff8">
    <w:name w:val="Основной текст + Полужирный"/>
    <w:rsid w:val="00133BC5"/>
    <w:rPr>
      <w:rFonts w:ascii="Times New Roman" w:eastAsia="Times New Roman" w:hAnsi="Times New Roman" w:cs="Times New Roman"/>
      <w:b/>
      <w:bCs/>
      <w:i w:val="0"/>
      <w:iCs w:val="0"/>
      <w:smallCaps w:val="0"/>
      <w:strike w:val="0"/>
      <w:color w:val="000000"/>
      <w:spacing w:val="0"/>
      <w:w w:val="100"/>
      <w:position w:val="0"/>
      <w:sz w:val="29"/>
      <w:szCs w:val="29"/>
      <w:u w:val="none"/>
      <w:shd w:val="clear" w:color="auto" w:fill="FFFFFF"/>
      <w:lang w:val="ru-RU"/>
    </w:rPr>
  </w:style>
  <w:style w:type="paragraph" w:customStyle="1" w:styleId="Style7">
    <w:name w:val="Style7"/>
    <w:basedOn w:val="a0"/>
    <w:uiPriority w:val="99"/>
    <w:rsid w:val="00133BC5"/>
    <w:pPr>
      <w:widowControl w:val="0"/>
      <w:autoSpaceDE w:val="0"/>
      <w:autoSpaceDN w:val="0"/>
      <w:adjustRightInd w:val="0"/>
      <w:spacing w:before="120" w:after="0" w:line="522" w:lineRule="exact"/>
      <w:ind w:firstLine="684"/>
      <w:jc w:val="both"/>
    </w:pPr>
    <w:rPr>
      <w:rFonts w:ascii="Times New Roman" w:eastAsia="Times New Roman" w:hAnsi="Times New Roman"/>
      <w:sz w:val="24"/>
      <w:szCs w:val="24"/>
      <w:lang w:eastAsia="ru-RU"/>
    </w:rPr>
  </w:style>
  <w:style w:type="character" w:customStyle="1" w:styleId="FontStyle87">
    <w:name w:val="Font Style87"/>
    <w:uiPriority w:val="99"/>
    <w:rsid w:val="00133BC5"/>
    <w:rPr>
      <w:rFonts w:ascii="Times New Roman" w:hAnsi="Times New Roman" w:cs="Times New Roman"/>
      <w:sz w:val="28"/>
      <w:szCs w:val="28"/>
    </w:rPr>
  </w:style>
  <w:style w:type="paragraph" w:styleId="40">
    <w:name w:val="toc 4"/>
    <w:basedOn w:val="a0"/>
    <w:next w:val="a0"/>
    <w:autoRedefine/>
    <w:uiPriority w:val="39"/>
    <w:unhideWhenUsed/>
    <w:locked/>
    <w:rsid w:val="00133BC5"/>
    <w:pPr>
      <w:spacing w:before="120" w:after="100"/>
      <w:ind w:left="660"/>
      <w:jc w:val="both"/>
    </w:pPr>
    <w:rPr>
      <w:rFonts w:asciiTheme="minorHAnsi" w:eastAsiaTheme="minorEastAsia" w:hAnsiTheme="minorHAnsi" w:cstheme="minorBidi"/>
      <w:sz w:val="24"/>
      <w:szCs w:val="24"/>
      <w:lang w:eastAsia="ru-RU"/>
    </w:rPr>
  </w:style>
  <w:style w:type="paragraph" w:styleId="5">
    <w:name w:val="toc 5"/>
    <w:basedOn w:val="a0"/>
    <w:next w:val="a0"/>
    <w:autoRedefine/>
    <w:uiPriority w:val="39"/>
    <w:unhideWhenUsed/>
    <w:locked/>
    <w:rsid w:val="00133BC5"/>
    <w:pPr>
      <w:spacing w:before="120" w:after="100"/>
      <w:ind w:left="880"/>
      <w:jc w:val="both"/>
    </w:pPr>
    <w:rPr>
      <w:rFonts w:asciiTheme="minorHAnsi" w:eastAsiaTheme="minorEastAsia" w:hAnsiTheme="minorHAnsi" w:cstheme="minorBidi"/>
      <w:sz w:val="24"/>
      <w:szCs w:val="24"/>
      <w:lang w:eastAsia="ru-RU"/>
    </w:rPr>
  </w:style>
  <w:style w:type="paragraph" w:styleId="6">
    <w:name w:val="toc 6"/>
    <w:basedOn w:val="a0"/>
    <w:next w:val="a0"/>
    <w:autoRedefine/>
    <w:uiPriority w:val="39"/>
    <w:unhideWhenUsed/>
    <w:locked/>
    <w:rsid w:val="00133BC5"/>
    <w:pPr>
      <w:spacing w:before="120" w:after="100"/>
      <w:ind w:left="1100"/>
      <w:jc w:val="both"/>
    </w:pPr>
    <w:rPr>
      <w:rFonts w:asciiTheme="minorHAnsi" w:eastAsiaTheme="minorEastAsia" w:hAnsiTheme="minorHAnsi" w:cstheme="minorBidi"/>
      <w:sz w:val="24"/>
      <w:szCs w:val="24"/>
      <w:lang w:eastAsia="ru-RU"/>
    </w:rPr>
  </w:style>
  <w:style w:type="paragraph" w:styleId="7">
    <w:name w:val="toc 7"/>
    <w:basedOn w:val="a0"/>
    <w:next w:val="a0"/>
    <w:autoRedefine/>
    <w:uiPriority w:val="39"/>
    <w:unhideWhenUsed/>
    <w:locked/>
    <w:rsid w:val="00133BC5"/>
    <w:pPr>
      <w:spacing w:before="120" w:after="100"/>
      <w:ind w:left="1320"/>
      <w:jc w:val="both"/>
    </w:pPr>
    <w:rPr>
      <w:rFonts w:asciiTheme="minorHAnsi" w:eastAsiaTheme="minorEastAsia" w:hAnsiTheme="minorHAnsi" w:cstheme="minorBidi"/>
      <w:sz w:val="24"/>
      <w:szCs w:val="24"/>
      <w:lang w:eastAsia="ru-RU"/>
    </w:rPr>
  </w:style>
  <w:style w:type="paragraph" w:styleId="8">
    <w:name w:val="toc 8"/>
    <w:basedOn w:val="a0"/>
    <w:next w:val="a0"/>
    <w:autoRedefine/>
    <w:uiPriority w:val="39"/>
    <w:unhideWhenUsed/>
    <w:locked/>
    <w:rsid w:val="00133BC5"/>
    <w:pPr>
      <w:spacing w:before="120" w:after="100"/>
      <w:ind w:left="1540"/>
      <w:jc w:val="both"/>
    </w:pPr>
    <w:rPr>
      <w:rFonts w:asciiTheme="minorHAnsi" w:eastAsiaTheme="minorEastAsia" w:hAnsiTheme="minorHAnsi" w:cstheme="minorBidi"/>
      <w:sz w:val="24"/>
      <w:szCs w:val="24"/>
      <w:lang w:eastAsia="ru-RU"/>
    </w:rPr>
  </w:style>
  <w:style w:type="paragraph" w:styleId="9">
    <w:name w:val="toc 9"/>
    <w:basedOn w:val="a0"/>
    <w:next w:val="a0"/>
    <w:autoRedefine/>
    <w:uiPriority w:val="39"/>
    <w:unhideWhenUsed/>
    <w:locked/>
    <w:rsid w:val="00133BC5"/>
    <w:pPr>
      <w:spacing w:before="120" w:after="100"/>
      <w:ind w:left="1760"/>
      <w:jc w:val="both"/>
    </w:pPr>
    <w:rPr>
      <w:rFonts w:asciiTheme="minorHAnsi" w:eastAsiaTheme="minorEastAsia" w:hAnsiTheme="minorHAnsi" w:cstheme="minorBid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6579">
      <w:bodyDiv w:val="1"/>
      <w:marLeft w:val="0"/>
      <w:marRight w:val="0"/>
      <w:marTop w:val="0"/>
      <w:marBottom w:val="0"/>
      <w:divBdr>
        <w:top w:val="none" w:sz="0" w:space="0" w:color="auto"/>
        <w:left w:val="none" w:sz="0" w:space="0" w:color="auto"/>
        <w:bottom w:val="none" w:sz="0" w:space="0" w:color="auto"/>
        <w:right w:val="none" w:sz="0" w:space="0" w:color="auto"/>
      </w:divBdr>
    </w:div>
    <w:div w:id="86199789">
      <w:bodyDiv w:val="1"/>
      <w:marLeft w:val="0"/>
      <w:marRight w:val="0"/>
      <w:marTop w:val="0"/>
      <w:marBottom w:val="0"/>
      <w:divBdr>
        <w:top w:val="none" w:sz="0" w:space="0" w:color="auto"/>
        <w:left w:val="none" w:sz="0" w:space="0" w:color="auto"/>
        <w:bottom w:val="none" w:sz="0" w:space="0" w:color="auto"/>
        <w:right w:val="none" w:sz="0" w:space="0" w:color="auto"/>
      </w:divBdr>
    </w:div>
    <w:div w:id="132527636">
      <w:bodyDiv w:val="1"/>
      <w:marLeft w:val="0"/>
      <w:marRight w:val="0"/>
      <w:marTop w:val="0"/>
      <w:marBottom w:val="0"/>
      <w:divBdr>
        <w:top w:val="none" w:sz="0" w:space="0" w:color="auto"/>
        <w:left w:val="none" w:sz="0" w:space="0" w:color="auto"/>
        <w:bottom w:val="none" w:sz="0" w:space="0" w:color="auto"/>
        <w:right w:val="none" w:sz="0" w:space="0" w:color="auto"/>
      </w:divBdr>
    </w:div>
    <w:div w:id="148406018">
      <w:bodyDiv w:val="1"/>
      <w:marLeft w:val="0"/>
      <w:marRight w:val="0"/>
      <w:marTop w:val="0"/>
      <w:marBottom w:val="0"/>
      <w:divBdr>
        <w:top w:val="none" w:sz="0" w:space="0" w:color="auto"/>
        <w:left w:val="none" w:sz="0" w:space="0" w:color="auto"/>
        <w:bottom w:val="none" w:sz="0" w:space="0" w:color="auto"/>
        <w:right w:val="none" w:sz="0" w:space="0" w:color="auto"/>
      </w:divBdr>
    </w:div>
    <w:div w:id="152382136">
      <w:bodyDiv w:val="1"/>
      <w:marLeft w:val="0"/>
      <w:marRight w:val="0"/>
      <w:marTop w:val="0"/>
      <w:marBottom w:val="0"/>
      <w:divBdr>
        <w:top w:val="none" w:sz="0" w:space="0" w:color="auto"/>
        <w:left w:val="none" w:sz="0" w:space="0" w:color="auto"/>
        <w:bottom w:val="none" w:sz="0" w:space="0" w:color="auto"/>
        <w:right w:val="none" w:sz="0" w:space="0" w:color="auto"/>
      </w:divBdr>
    </w:div>
    <w:div w:id="190188387">
      <w:bodyDiv w:val="1"/>
      <w:marLeft w:val="0"/>
      <w:marRight w:val="0"/>
      <w:marTop w:val="0"/>
      <w:marBottom w:val="0"/>
      <w:divBdr>
        <w:top w:val="none" w:sz="0" w:space="0" w:color="auto"/>
        <w:left w:val="none" w:sz="0" w:space="0" w:color="auto"/>
        <w:bottom w:val="none" w:sz="0" w:space="0" w:color="auto"/>
        <w:right w:val="none" w:sz="0" w:space="0" w:color="auto"/>
      </w:divBdr>
    </w:div>
    <w:div w:id="284846393">
      <w:bodyDiv w:val="1"/>
      <w:marLeft w:val="0"/>
      <w:marRight w:val="0"/>
      <w:marTop w:val="0"/>
      <w:marBottom w:val="0"/>
      <w:divBdr>
        <w:top w:val="none" w:sz="0" w:space="0" w:color="auto"/>
        <w:left w:val="none" w:sz="0" w:space="0" w:color="auto"/>
        <w:bottom w:val="none" w:sz="0" w:space="0" w:color="auto"/>
        <w:right w:val="none" w:sz="0" w:space="0" w:color="auto"/>
      </w:divBdr>
    </w:div>
    <w:div w:id="339702579">
      <w:bodyDiv w:val="1"/>
      <w:marLeft w:val="0"/>
      <w:marRight w:val="0"/>
      <w:marTop w:val="0"/>
      <w:marBottom w:val="0"/>
      <w:divBdr>
        <w:top w:val="none" w:sz="0" w:space="0" w:color="auto"/>
        <w:left w:val="none" w:sz="0" w:space="0" w:color="auto"/>
        <w:bottom w:val="none" w:sz="0" w:space="0" w:color="auto"/>
        <w:right w:val="none" w:sz="0" w:space="0" w:color="auto"/>
      </w:divBdr>
      <w:divsChild>
        <w:div w:id="864292472">
          <w:marLeft w:val="432"/>
          <w:marRight w:val="0"/>
          <w:marTop w:val="0"/>
          <w:marBottom w:val="0"/>
          <w:divBdr>
            <w:top w:val="none" w:sz="0" w:space="0" w:color="auto"/>
            <w:left w:val="none" w:sz="0" w:space="0" w:color="auto"/>
            <w:bottom w:val="none" w:sz="0" w:space="0" w:color="auto"/>
            <w:right w:val="none" w:sz="0" w:space="0" w:color="auto"/>
          </w:divBdr>
        </w:div>
      </w:divsChild>
    </w:div>
    <w:div w:id="348409030">
      <w:bodyDiv w:val="1"/>
      <w:marLeft w:val="0"/>
      <w:marRight w:val="0"/>
      <w:marTop w:val="0"/>
      <w:marBottom w:val="0"/>
      <w:divBdr>
        <w:top w:val="none" w:sz="0" w:space="0" w:color="auto"/>
        <w:left w:val="none" w:sz="0" w:space="0" w:color="auto"/>
        <w:bottom w:val="none" w:sz="0" w:space="0" w:color="auto"/>
        <w:right w:val="none" w:sz="0" w:space="0" w:color="auto"/>
      </w:divBdr>
    </w:div>
    <w:div w:id="413211193">
      <w:bodyDiv w:val="1"/>
      <w:marLeft w:val="0"/>
      <w:marRight w:val="0"/>
      <w:marTop w:val="0"/>
      <w:marBottom w:val="0"/>
      <w:divBdr>
        <w:top w:val="none" w:sz="0" w:space="0" w:color="auto"/>
        <w:left w:val="none" w:sz="0" w:space="0" w:color="auto"/>
        <w:bottom w:val="none" w:sz="0" w:space="0" w:color="auto"/>
        <w:right w:val="none" w:sz="0" w:space="0" w:color="auto"/>
      </w:divBdr>
    </w:div>
    <w:div w:id="418332961">
      <w:bodyDiv w:val="1"/>
      <w:marLeft w:val="0"/>
      <w:marRight w:val="0"/>
      <w:marTop w:val="0"/>
      <w:marBottom w:val="0"/>
      <w:divBdr>
        <w:top w:val="none" w:sz="0" w:space="0" w:color="auto"/>
        <w:left w:val="none" w:sz="0" w:space="0" w:color="auto"/>
        <w:bottom w:val="none" w:sz="0" w:space="0" w:color="auto"/>
        <w:right w:val="none" w:sz="0" w:space="0" w:color="auto"/>
      </w:divBdr>
    </w:div>
    <w:div w:id="432870027">
      <w:bodyDiv w:val="1"/>
      <w:marLeft w:val="0"/>
      <w:marRight w:val="0"/>
      <w:marTop w:val="0"/>
      <w:marBottom w:val="0"/>
      <w:divBdr>
        <w:top w:val="none" w:sz="0" w:space="0" w:color="auto"/>
        <w:left w:val="none" w:sz="0" w:space="0" w:color="auto"/>
        <w:bottom w:val="none" w:sz="0" w:space="0" w:color="auto"/>
        <w:right w:val="none" w:sz="0" w:space="0" w:color="auto"/>
      </w:divBdr>
    </w:div>
    <w:div w:id="497504157">
      <w:bodyDiv w:val="1"/>
      <w:marLeft w:val="0"/>
      <w:marRight w:val="0"/>
      <w:marTop w:val="0"/>
      <w:marBottom w:val="0"/>
      <w:divBdr>
        <w:top w:val="none" w:sz="0" w:space="0" w:color="auto"/>
        <w:left w:val="none" w:sz="0" w:space="0" w:color="auto"/>
        <w:bottom w:val="none" w:sz="0" w:space="0" w:color="auto"/>
        <w:right w:val="none" w:sz="0" w:space="0" w:color="auto"/>
      </w:divBdr>
    </w:div>
    <w:div w:id="499855617">
      <w:bodyDiv w:val="1"/>
      <w:marLeft w:val="0"/>
      <w:marRight w:val="0"/>
      <w:marTop w:val="0"/>
      <w:marBottom w:val="0"/>
      <w:divBdr>
        <w:top w:val="none" w:sz="0" w:space="0" w:color="auto"/>
        <w:left w:val="none" w:sz="0" w:space="0" w:color="auto"/>
        <w:bottom w:val="none" w:sz="0" w:space="0" w:color="auto"/>
        <w:right w:val="none" w:sz="0" w:space="0" w:color="auto"/>
      </w:divBdr>
    </w:div>
    <w:div w:id="514268905">
      <w:bodyDiv w:val="1"/>
      <w:marLeft w:val="0"/>
      <w:marRight w:val="0"/>
      <w:marTop w:val="0"/>
      <w:marBottom w:val="0"/>
      <w:divBdr>
        <w:top w:val="none" w:sz="0" w:space="0" w:color="auto"/>
        <w:left w:val="none" w:sz="0" w:space="0" w:color="auto"/>
        <w:bottom w:val="none" w:sz="0" w:space="0" w:color="auto"/>
        <w:right w:val="none" w:sz="0" w:space="0" w:color="auto"/>
      </w:divBdr>
    </w:div>
    <w:div w:id="522594788">
      <w:bodyDiv w:val="1"/>
      <w:marLeft w:val="0"/>
      <w:marRight w:val="0"/>
      <w:marTop w:val="0"/>
      <w:marBottom w:val="0"/>
      <w:divBdr>
        <w:top w:val="none" w:sz="0" w:space="0" w:color="auto"/>
        <w:left w:val="none" w:sz="0" w:space="0" w:color="auto"/>
        <w:bottom w:val="none" w:sz="0" w:space="0" w:color="auto"/>
        <w:right w:val="none" w:sz="0" w:space="0" w:color="auto"/>
      </w:divBdr>
    </w:div>
    <w:div w:id="528757242">
      <w:bodyDiv w:val="1"/>
      <w:marLeft w:val="0"/>
      <w:marRight w:val="0"/>
      <w:marTop w:val="0"/>
      <w:marBottom w:val="0"/>
      <w:divBdr>
        <w:top w:val="none" w:sz="0" w:space="0" w:color="auto"/>
        <w:left w:val="none" w:sz="0" w:space="0" w:color="auto"/>
        <w:bottom w:val="none" w:sz="0" w:space="0" w:color="auto"/>
        <w:right w:val="none" w:sz="0" w:space="0" w:color="auto"/>
      </w:divBdr>
    </w:div>
    <w:div w:id="541403067">
      <w:bodyDiv w:val="1"/>
      <w:marLeft w:val="0"/>
      <w:marRight w:val="0"/>
      <w:marTop w:val="0"/>
      <w:marBottom w:val="0"/>
      <w:divBdr>
        <w:top w:val="none" w:sz="0" w:space="0" w:color="auto"/>
        <w:left w:val="none" w:sz="0" w:space="0" w:color="auto"/>
        <w:bottom w:val="none" w:sz="0" w:space="0" w:color="auto"/>
        <w:right w:val="none" w:sz="0" w:space="0" w:color="auto"/>
      </w:divBdr>
    </w:div>
    <w:div w:id="567959107">
      <w:bodyDiv w:val="1"/>
      <w:marLeft w:val="0"/>
      <w:marRight w:val="0"/>
      <w:marTop w:val="0"/>
      <w:marBottom w:val="0"/>
      <w:divBdr>
        <w:top w:val="none" w:sz="0" w:space="0" w:color="auto"/>
        <w:left w:val="none" w:sz="0" w:space="0" w:color="auto"/>
        <w:bottom w:val="none" w:sz="0" w:space="0" w:color="auto"/>
        <w:right w:val="none" w:sz="0" w:space="0" w:color="auto"/>
      </w:divBdr>
    </w:div>
    <w:div w:id="609360285">
      <w:bodyDiv w:val="1"/>
      <w:marLeft w:val="0"/>
      <w:marRight w:val="0"/>
      <w:marTop w:val="0"/>
      <w:marBottom w:val="0"/>
      <w:divBdr>
        <w:top w:val="none" w:sz="0" w:space="0" w:color="auto"/>
        <w:left w:val="none" w:sz="0" w:space="0" w:color="auto"/>
        <w:bottom w:val="none" w:sz="0" w:space="0" w:color="auto"/>
        <w:right w:val="none" w:sz="0" w:space="0" w:color="auto"/>
      </w:divBdr>
    </w:div>
    <w:div w:id="621502838">
      <w:bodyDiv w:val="1"/>
      <w:marLeft w:val="0"/>
      <w:marRight w:val="0"/>
      <w:marTop w:val="0"/>
      <w:marBottom w:val="0"/>
      <w:divBdr>
        <w:top w:val="none" w:sz="0" w:space="0" w:color="auto"/>
        <w:left w:val="none" w:sz="0" w:space="0" w:color="auto"/>
        <w:bottom w:val="none" w:sz="0" w:space="0" w:color="auto"/>
        <w:right w:val="none" w:sz="0" w:space="0" w:color="auto"/>
      </w:divBdr>
    </w:div>
    <w:div w:id="627275217">
      <w:bodyDiv w:val="1"/>
      <w:marLeft w:val="0"/>
      <w:marRight w:val="0"/>
      <w:marTop w:val="0"/>
      <w:marBottom w:val="0"/>
      <w:divBdr>
        <w:top w:val="none" w:sz="0" w:space="0" w:color="auto"/>
        <w:left w:val="none" w:sz="0" w:space="0" w:color="auto"/>
        <w:bottom w:val="none" w:sz="0" w:space="0" w:color="auto"/>
        <w:right w:val="none" w:sz="0" w:space="0" w:color="auto"/>
      </w:divBdr>
      <w:divsChild>
        <w:div w:id="1277253956">
          <w:marLeft w:val="432"/>
          <w:marRight w:val="0"/>
          <w:marTop w:val="0"/>
          <w:marBottom w:val="0"/>
          <w:divBdr>
            <w:top w:val="none" w:sz="0" w:space="0" w:color="auto"/>
            <w:left w:val="none" w:sz="0" w:space="0" w:color="auto"/>
            <w:bottom w:val="none" w:sz="0" w:space="0" w:color="auto"/>
            <w:right w:val="none" w:sz="0" w:space="0" w:color="auto"/>
          </w:divBdr>
        </w:div>
      </w:divsChild>
    </w:div>
    <w:div w:id="637683810">
      <w:bodyDiv w:val="1"/>
      <w:marLeft w:val="0"/>
      <w:marRight w:val="0"/>
      <w:marTop w:val="0"/>
      <w:marBottom w:val="0"/>
      <w:divBdr>
        <w:top w:val="none" w:sz="0" w:space="0" w:color="auto"/>
        <w:left w:val="none" w:sz="0" w:space="0" w:color="auto"/>
        <w:bottom w:val="none" w:sz="0" w:space="0" w:color="auto"/>
        <w:right w:val="none" w:sz="0" w:space="0" w:color="auto"/>
      </w:divBdr>
      <w:divsChild>
        <w:div w:id="883374015">
          <w:marLeft w:val="432"/>
          <w:marRight w:val="0"/>
          <w:marTop w:val="0"/>
          <w:marBottom w:val="0"/>
          <w:divBdr>
            <w:top w:val="none" w:sz="0" w:space="0" w:color="auto"/>
            <w:left w:val="none" w:sz="0" w:space="0" w:color="auto"/>
            <w:bottom w:val="none" w:sz="0" w:space="0" w:color="auto"/>
            <w:right w:val="none" w:sz="0" w:space="0" w:color="auto"/>
          </w:divBdr>
        </w:div>
      </w:divsChild>
    </w:div>
    <w:div w:id="648635434">
      <w:bodyDiv w:val="1"/>
      <w:marLeft w:val="0"/>
      <w:marRight w:val="0"/>
      <w:marTop w:val="0"/>
      <w:marBottom w:val="0"/>
      <w:divBdr>
        <w:top w:val="none" w:sz="0" w:space="0" w:color="auto"/>
        <w:left w:val="none" w:sz="0" w:space="0" w:color="auto"/>
        <w:bottom w:val="none" w:sz="0" w:space="0" w:color="auto"/>
        <w:right w:val="none" w:sz="0" w:space="0" w:color="auto"/>
      </w:divBdr>
    </w:div>
    <w:div w:id="684988231">
      <w:bodyDiv w:val="1"/>
      <w:marLeft w:val="0"/>
      <w:marRight w:val="0"/>
      <w:marTop w:val="0"/>
      <w:marBottom w:val="0"/>
      <w:divBdr>
        <w:top w:val="none" w:sz="0" w:space="0" w:color="auto"/>
        <w:left w:val="none" w:sz="0" w:space="0" w:color="auto"/>
        <w:bottom w:val="none" w:sz="0" w:space="0" w:color="auto"/>
        <w:right w:val="none" w:sz="0" w:space="0" w:color="auto"/>
      </w:divBdr>
    </w:div>
    <w:div w:id="697007124">
      <w:bodyDiv w:val="1"/>
      <w:marLeft w:val="0"/>
      <w:marRight w:val="0"/>
      <w:marTop w:val="0"/>
      <w:marBottom w:val="0"/>
      <w:divBdr>
        <w:top w:val="none" w:sz="0" w:space="0" w:color="auto"/>
        <w:left w:val="none" w:sz="0" w:space="0" w:color="auto"/>
        <w:bottom w:val="none" w:sz="0" w:space="0" w:color="auto"/>
        <w:right w:val="none" w:sz="0" w:space="0" w:color="auto"/>
      </w:divBdr>
    </w:div>
    <w:div w:id="739520889">
      <w:bodyDiv w:val="1"/>
      <w:marLeft w:val="0"/>
      <w:marRight w:val="0"/>
      <w:marTop w:val="0"/>
      <w:marBottom w:val="0"/>
      <w:divBdr>
        <w:top w:val="none" w:sz="0" w:space="0" w:color="auto"/>
        <w:left w:val="none" w:sz="0" w:space="0" w:color="auto"/>
        <w:bottom w:val="none" w:sz="0" w:space="0" w:color="auto"/>
        <w:right w:val="none" w:sz="0" w:space="0" w:color="auto"/>
      </w:divBdr>
    </w:div>
    <w:div w:id="745108007">
      <w:bodyDiv w:val="1"/>
      <w:marLeft w:val="0"/>
      <w:marRight w:val="0"/>
      <w:marTop w:val="0"/>
      <w:marBottom w:val="0"/>
      <w:divBdr>
        <w:top w:val="none" w:sz="0" w:space="0" w:color="auto"/>
        <w:left w:val="none" w:sz="0" w:space="0" w:color="auto"/>
        <w:bottom w:val="none" w:sz="0" w:space="0" w:color="auto"/>
        <w:right w:val="none" w:sz="0" w:space="0" w:color="auto"/>
      </w:divBdr>
    </w:div>
    <w:div w:id="784731183">
      <w:bodyDiv w:val="1"/>
      <w:marLeft w:val="0"/>
      <w:marRight w:val="0"/>
      <w:marTop w:val="0"/>
      <w:marBottom w:val="0"/>
      <w:divBdr>
        <w:top w:val="none" w:sz="0" w:space="0" w:color="auto"/>
        <w:left w:val="none" w:sz="0" w:space="0" w:color="auto"/>
        <w:bottom w:val="none" w:sz="0" w:space="0" w:color="auto"/>
        <w:right w:val="none" w:sz="0" w:space="0" w:color="auto"/>
      </w:divBdr>
    </w:div>
    <w:div w:id="833494434">
      <w:bodyDiv w:val="1"/>
      <w:marLeft w:val="0"/>
      <w:marRight w:val="0"/>
      <w:marTop w:val="0"/>
      <w:marBottom w:val="0"/>
      <w:divBdr>
        <w:top w:val="none" w:sz="0" w:space="0" w:color="auto"/>
        <w:left w:val="none" w:sz="0" w:space="0" w:color="auto"/>
        <w:bottom w:val="none" w:sz="0" w:space="0" w:color="auto"/>
        <w:right w:val="none" w:sz="0" w:space="0" w:color="auto"/>
      </w:divBdr>
    </w:div>
    <w:div w:id="834108241">
      <w:bodyDiv w:val="1"/>
      <w:marLeft w:val="0"/>
      <w:marRight w:val="0"/>
      <w:marTop w:val="0"/>
      <w:marBottom w:val="0"/>
      <w:divBdr>
        <w:top w:val="none" w:sz="0" w:space="0" w:color="auto"/>
        <w:left w:val="none" w:sz="0" w:space="0" w:color="auto"/>
        <w:bottom w:val="none" w:sz="0" w:space="0" w:color="auto"/>
        <w:right w:val="none" w:sz="0" w:space="0" w:color="auto"/>
      </w:divBdr>
    </w:div>
    <w:div w:id="838231795">
      <w:bodyDiv w:val="1"/>
      <w:marLeft w:val="0"/>
      <w:marRight w:val="0"/>
      <w:marTop w:val="0"/>
      <w:marBottom w:val="0"/>
      <w:divBdr>
        <w:top w:val="none" w:sz="0" w:space="0" w:color="auto"/>
        <w:left w:val="none" w:sz="0" w:space="0" w:color="auto"/>
        <w:bottom w:val="none" w:sz="0" w:space="0" w:color="auto"/>
        <w:right w:val="none" w:sz="0" w:space="0" w:color="auto"/>
      </w:divBdr>
    </w:div>
    <w:div w:id="843983076">
      <w:bodyDiv w:val="1"/>
      <w:marLeft w:val="0"/>
      <w:marRight w:val="0"/>
      <w:marTop w:val="0"/>
      <w:marBottom w:val="0"/>
      <w:divBdr>
        <w:top w:val="none" w:sz="0" w:space="0" w:color="auto"/>
        <w:left w:val="none" w:sz="0" w:space="0" w:color="auto"/>
        <w:bottom w:val="none" w:sz="0" w:space="0" w:color="auto"/>
        <w:right w:val="none" w:sz="0" w:space="0" w:color="auto"/>
      </w:divBdr>
      <w:divsChild>
        <w:div w:id="1097284914">
          <w:marLeft w:val="432"/>
          <w:marRight w:val="0"/>
          <w:marTop w:val="0"/>
          <w:marBottom w:val="0"/>
          <w:divBdr>
            <w:top w:val="none" w:sz="0" w:space="0" w:color="auto"/>
            <w:left w:val="none" w:sz="0" w:space="0" w:color="auto"/>
            <w:bottom w:val="none" w:sz="0" w:space="0" w:color="auto"/>
            <w:right w:val="none" w:sz="0" w:space="0" w:color="auto"/>
          </w:divBdr>
        </w:div>
      </w:divsChild>
    </w:div>
    <w:div w:id="931357771">
      <w:marLeft w:val="0"/>
      <w:marRight w:val="0"/>
      <w:marTop w:val="0"/>
      <w:marBottom w:val="0"/>
      <w:divBdr>
        <w:top w:val="none" w:sz="0" w:space="0" w:color="auto"/>
        <w:left w:val="none" w:sz="0" w:space="0" w:color="auto"/>
        <w:bottom w:val="none" w:sz="0" w:space="0" w:color="auto"/>
        <w:right w:val="none" w:sz="0" w:space="0" w:color="auto"/>
      </w:divBdr>
    </w:div>
    <w:div w:id="931357772">
      <w:marLeft w:val="0"/>
      <w:marRight w:val="0"/>
      <w:marTop w:val="0"/>
      <w:marBottom w:val="0"/>
      <w:divBdr>
        <w:top w:val="none" w:sz="0" w:space="0" w:color="auto"/>
        <w:left w:val="none" w:sz="0" w:space="0" w:color="auto"/>
        <w:bottom w:val="none" w:sz="0" w:space="0" w:color="auto"/>
        <w:right w:val="none" w:sz="0" w:space="0" w:color="auto"/>
      </w:divBdr>
    </w:div>
    <w:div w:id="931357773">
      <w:marLeft w:val="0"/>
      <w:marRight w:val="0"/>
      <w:marTop w:val="0"/>
      <w:marBottom w:val="0"/>
      <w:divBdr>
        <w:top w:val="none" w:sz="0" w:space="0" w:color="auto"/>
        <w:left w:val="none" w:sz="0" w:space="0" w:color="auto"/>
        <w:bottom w:val="none" w:sz="0" w:space="0" w:color="auto"/>
        <w:right w:val="none" w:sz="0" w:space="0" w:color="auto"/>
      </w:divBdr>
    </w:div>
    <w:div w:id="931357774">
      <w:marLeft w:val="0"/>
      <w:marRight w:val="0"/>
      <w:marTop w:val="0"/>
      <w:marBottom w:val="0"/>
      <w:divBdr>
        <w:top w:val="none" w:sz="0" w:space="0" w:color="auto"/>
        <w:left w:val="none" w:sz="0" w:space="0" w:color="auto"/>
        <w:bottom w:val="none" w:sz="0" w:space="0" w:color="auto"/>
        <w:right w:val="none" w:sz="0" w:space="0" w:color="auto"/>
      </w:divBdr>
    </w:div>
    <w:div w:id="931357775">
      <w:marLeft w:val="0"/>
      <w:marRight w:val="0"/>
      <w:marTop w:val="0"/>
      <w:marBottom w:val="0"/>
      <w:divBdr>
        <w:top w:val="none" w:sz="0" w:space="0" w:color="auto"/>
        <w:left w:val="none" w:sz="0" w:space="0" w:color="auto"/>
        <w:bottom w:val="none" w:sz="0" w:space="0" w:color="auto"/>
        <w:right w:val="none" w:sz="0" w:space="0" w:color="auto"/>
      </w:divBdr>
    </w:div>
    <w:div w:id="931357776">
      <w:marLeft w:val="0"/>
      <w:marRight w:val="0"/>
      <w:marTop w:val="0"/>
      <w:marBottom w:val="0"/>
      <w:divBdr>
        <w:top w:val="none" w:sz="0" w:space="0" w:color="auto"/>
        <w:left w:val="none" w:sz="0" w:space="0" w:color="auto"/>
        <w:bottom w:val="none" w:sz="0" w:space="0" w:color="auto"/>
        <w:right w:val="none" w:sz="0" w:space="0" w:color="auto"/>
      </w:divBdr>
    </w:div>
    <w:div w:id="931357777">
      <w:marLeft w:val="0"/>
      <w:marRight w:val="0"/>
      <w:marTop w:val="0"/>
      <w:marBottom w:val="0"/>
      <w:divBdr>
        <w:top w:val="none" w:sz="0" w:space="0" w:color="auto"/>
        <w:left w:val="none" w:sz="0" w:space="0" w:color="auto"/>
        <w:bottom w:val="none" w:sz="0" w:space="0" w:color="auto"/>
        <w:right w:val="none" w:sz="0" w:space="0" w:color="auto"/>
      </w:divBdr>
    </w:div>
    <w:div w:id="931357778">
      <w:marLeft w:val="0"/>
      <w:marRight w:val="0"/>
      <w:marTop w:val="0"/>
      <w:marBottom w:val="0"/>
      <w:divBdr>
        <w:top w:val="none" w:sz="0" w:space="0" w:color="auto"/>
        <w:left w:val="none" w:sz="0" w:space="0" w:color="auto"/>
        <w:bottom w:val="none" w:sz="0" w:space="0" w:color="auto"/>
        <w:right w:val="none" w:sz="0" w:space="0" w:color="auto"/>
      </w:divBdr>
    </w:div>
    <w:div w:id="931357779">
      <w:marLeft w:val="0"/>
      <w:marRight w:val="0"/>
      <w:marTop w:val="0"/>
      <w:marBottom w:val="0"/>
      <w:divBdr>
        <w:top w:val="none" w:sz="0" w:space="0" w:color="auto"/>
        <w:left w:val="none" w:sz="0" w:space="0" w:color="auto"/>
        <w:bottom w:val="none" w:sz="0" w:space="0" w:color="auto"/>
        <w:right w:val="none" w:sz="0" w:space="0" w:color="auto"/>
      </w:divBdr>
    </w:div>
    <w:div w:id="931357780">
      <w:marLeft w:val="0"/>
      <w:marRight w:val="0"/>
      <w:marTop w:val="0"/>
      <w:marBottom w:val="0"/>
      <w:divBdr>
        <w:top w:val="none" w:sz="0" w:space="0" w:color="auto"/>
        <w:left w:val="none" w:sz="0" w:space="0" w:color="auto"/>
        <w:bottom w:val="none" w:sz="0" w:space="0" w:color="auto"/>
        <w:right w:val="none" w:sz="0" w:space="0" w:color="auto"/>
      </w:divBdr>
    </w:div>
    <w:div w:id="931357781">
      <w:marLeft w:val="0"/>
      <w:marRight w:val="0"/>
      <w:marTop w:val="0"/>
      <w:marBottom w:val="0"/>
      <w:divBdr>
        <w:top w:val="none" w:sz="0" w:space="0" w:color="auto"/>
        <w:left w:val="none" w:sz="0" w:space="0" w:color="auto"/>
        <w:bottom w:val="none" w:sz="0" w:space="0" w:color="auto"/>
        <w:right w:val="none" w:sz="0" w:space="0" w:color="auto"/>
      </w:divBdr>
    </w:div>
    <w:div w:id="931357782">
      <w:marLeft w:val="0"/>
      <w:marRight w:val="0"/>
      <w:marTop w:val="0"/>
      <w:marBottom w:val="0"/>
      <w:divBdr>
        <w:top w:val="none" w:sz="0" w:space="0" w:color="auto"/>
        <w:left w:val="none" w:sz="0" w:space="0" w:color="auto"/>
        <w:bottom w:val="none" w:sz="0" w:space="0" w:color="auto"/>
        <w:right w:val="none" w:sz="0" w:space="0" w:color="auto"/>
      </w:divBdr>
    </w:div>
    <w:div w:id="931357783">
      <w:marLeft w:val="0"/>
      <w:marRight w:val="0"/>
      <w:marTop w:val="0"/>
      <w:marBottom w:val="0"/>
      <w:divBdr>
        <w:top w:val="none" w:sz="0" w:space="0" w:color="auto"/>
        <w:left w:val="none" w:sz="0" w:space="0" w:color="auto"/>
        <w:bottom w:val="none" w:sz="0" w:space="0" w:color="auto"/>
        <w:right w:val="none" w:sz="0" w:space="0" w:color="auto"/>
      </w:divBdr>
    </w:div>
    <w:div w:id="931357784">
      <w:marLeft w:val="0"/>
      <w:marRight w:val="0"/>
      <w:marTop w:val="0"/>
      <w:marBottom w:val="0"/>
      <w:divBdr>
        <w:top w:val="none" w:sz="0" w:space="0" w:color="auto"/>
        <w:left w:val="none" w:sz="0" w:space="0" w:color="auto"/>
        <w:bottom w:val="none" w:sz="0" w:space="0" w:color="auto"/>
        <w:right w:val="none" w:sz="0" w:space="0" w:color="auto"/>
      </w:divBdr>
    </w:div>
    <w:div w:id="931357785">
      <w:marLeft w:val="0"/>
      <w:marRight w:val="0"/>
      <w:marTop w:val="0"/>
      <w:marBottom w:val="0"/>
      <w:divBdr>
        <w:top w:val="none" w:sz="0" w:space="0" w:color="auto"/>
        <w:left w:val="none" w:sz="0" w:space="0" w:color="auto"/>
        <w:bottom w:val="none" w:sz="0" w:space="0" w:color="auto"/>
        <w:right w:val="none" w:sz="0" w:space="0" w:color="auto"/>
      </w:divBdr>
    </w:div>
    <w:div w:id="931357786">
      <w:marLeft w:val="0"/>
      <w:marRight w:val="0"/>
      <w:marTop w:val="0"/>
      <w:marBottom w:val="0"/>
      <w:divBdr>
        <w:top w:val="none" w:sz="0" w:space="0" w:color="auto"/>
        <w:left w:val="none" w:sz="0" w:space="0" w:color="auto"/>
        <w:bottom w:val="none" w:sz="0" w:space="0" w:color="auto"/>
        <w:right w:val="none" w:sz="0" w:space="0" w:color="auto"/>
      </w:divBdr>
    </w:div>
    <w:div w:id="931357787">
      <w:marLeft w:val="0"/>
      <w:marRight w:val="0"/>
      <w:marTop w:val="0"/>
      <w:marBottom w:val="0"/>
      <w:divBdr>
        <w:top w:val="none" w:sz="0" w:space="0" w:color="auto"/>
        <w:left w:val="none" w:sz="0" w:space="0" w:color="auto"/>
        <w:bottom w:val="none" w:sz="0" w:space="0" w:color="auto"/>
        <w:right w:val="none" w:sz="0" w:space="0" w:color="auto"/>
      </w:divBdr>
    </w:div>
    <w:div w:id="931357788">
      <w:marLeft w:val="0"/>
      <w:marRight w:val="0"/>
      <w:marTop w:val="0"/>
      <w:marBottom w:val="0"/>
      <w:divBdr>
        <w:top w:val="none" w:sz="0" w:space="0" w:color="auto"/>
        <w:left w:val="none" w:sz="0" w:space="0" w:color="auto"/>
        <w:bottom w:val="none" w:sz="0" w:space="0" w:color="auto"/>
        <w:right w:val="none" w:sz="0" w:space="0" w:color="auto"/>
      </w:divBdr>
    </w:div>
    <w:div w:id="931357789">
      <w:marLeft w:val="0"/>
      <w:marRight w:val="0"/>
      <w:marTop w:val="0"/>
      <w:marBottom w:val="0"/>
      <w:divBdr>
        <w:top w:val="none" w:sz="0" w:space="0" w:color="auto"/>
        <w:left w:val="none" w:sz="0" w:space="0" w:color="auto"/>
        <w:bottom w:val="none" w:sz="0" w:space="0" w:color="auto"/>
        <w:right w:val="none" w:sz="0" w:space="0" w:color="auto"/>
      </w:divBdr>
    </w:div>
    <w:div w:id="931357790">
      <w:marLeft w:val="0"/>
      <w:marRight w:val="0"/>
      <w:marTop w:val="0"/>
      <w:marBottom w:val="0"/>
      <w:divBdr>
        <w:top w:val="none" w:sz="0" w:space="0" w:color="auto"/>
        <w:left w:val="none" w:sz="0" w:space="0" w:color="auto"/>
        <w:bottom w:val="none" w:sz="0" w:space="0" w:color="auto"/>
        <w:right w:val="none" w:sz="0" w:space="0" w:color="auto"/>
      </w:divBdr>
    </w:div>
    <w:div w:id="931357791">
      <w:marLeft w:val="0"/>
      <w:marRight w:val="0"/>
      <w:marTop w:val="0"/>
      <w:marBottom w:val="0"/>
      <w:divBdr>
        <w:top w:val="none" w:sz="0" w:space="0" w:color="auto"/>
        <w:left w:val="none" w:sz="0" w:space="0" w:color="auto"/>
        <w:bottom w:val="none" w:sz="0" w:space="0" w:color="auto"/>
        <w:right w:val="none" w:sz="0" w:space="0" w:color="auto"/>
      </w:divBdr>
    </w:div>
    <w:div w:id="931357792">
      <w:marLeft w:val="0"/>
      <w:marRight w:val="0"/>
      <w:marTop w:val="0"/>
      <w:marBottom w:val="0"/>
      <w:divBdr>
        <w:top w:val="none" w:sz="0" w:space="0" w:color="auto"/>
        <w:left w:val="none" w:sz="0" w:space="0" w:color="auto"/>
        <w:bottom w:val="none" w:sz="0" w:space="0" w:color="auto"/>
        <w:right w:val="none" w:sz="0" w:space="0" w:color="auto"/>
      </w:divBdr>
    </w:div>
    <w:div w:id="931357793">
      <w:marLeft w:val="0"/>
      <w:marRight w:val="0"/>
      <w:marTop w:val="0"/>
      <w:marBottom w:val="0"/>
      <w:divBdr>
        <w:top w:val="none" w:sz="0" w:space="0" w:color="auto"/>
        <w:left w:val="none" w:sz="0" w:space="0" w:color="auto"/>
        <w:bottom w:val="none" w:sz="0" w:space="0" w:color="auto"/>
        <w:right w:val="none" w:sz="0" w:space="0" w:color="auto"/>
      </w:divBdr>
    </w:div>
    <w:div w:id="931357794">
      <w:marLeft w:val="0"/>
      <w:marRight w:val="0"/>
      <w:marTop w:val="0"/>
      <w:marBottom w:val="0"/>
      <w:divBdr>
        <w:top w:val="none" w:sz="0" w:space="0" w:color="auto"/>
        <w:left w:val="none" w:sz="0" w:space="0" w:color="auto"/>
        <w:bottom w:val="none" w:sz="0" w:space="0" w:color="auto"/>
        <w:right w:val="none" w:sz="0" w:space="0" w:color="auto"/>
      </w:divBdr>
    </w:div>
    <w:div w:id="931357795">
      <w:marLeft w:val="0"/>
      <w:marRight w:val="0"/>
      <w:marTop w:val="0"/>
      <w:marBottom w:val="0"/>
      <w:divBdr>
        <w:top w:val="none" w:sz="0" w:space="0" w:color="auto"/>
        <w:left w:val="none" w:sz="0" w:space="0" w:color="auto"/>
        <w:bottom w:val="none" w:sz="0" w:space="0" w:color="auto"/>
        <w:right w:val="none" w:sz="0" w:space="0" w:color="auto"/>
      </w:divBdr>
    </w:div>
    <w:div w:id="931357796">
      <w:marLeft w:val="0"/>
      <w:marRight w:val="0"/>
      <w:marTop w:val="0"/>
      <w:marBottom w:val="0"/>
      <w:divBdr>
        <w:top w:val="none" w:sz="0" w:space="0" w:color="auto"/>
        <w:left w:val="none" w:sz="0" w:space="0" w:color="auto"/>
        <w:bottom w:val="none" w:sz="0" w:space="0" w:color="auto"/>
        <w:right w:val="none" w:sz="0" w:space="0" w:color="auto"/>
      </w:divBdr>
    </w:div>
    <w:div w:id="931357797">
      <w:marLeft w:val="0"/>
      <w:marRight w:val="0"/>
      <w:marTop w:val="0"/>
      <w:marBottom w:val="0"/>
      <w:divBdr>
        <w:top w:val="none" w:sz="0" w:space="0" w:color="auto"/>
        <w:left w:val="none" w:sz="0" w:space="0" w:color="auto"/>
        <w:bottom w:val="none" w:sz="0" w:space="0" w:color="auto"/>
        <w:right w:val="none" w:sz="0" w:space="0" w:color="auto"/>
      </w:divBdr>
    </w:div>
    <w:div w:id="931357798">
      <w:marLeft w:val="0"/>
      <w:marRight w:val="0"/>
      <w:marTop w:val="0"/>
      <w:marBottom w:val="0"/>
      <w:divBdr>
        <w:top w:val="none" w:sz="0" w:space="0" w:color="auto"/>
        <w:left w:val="none" w:sz="0" w:space="0" w:color="auto"/>
        <w:bottom w:val="none" w:sz="0" w:space="0" w:color="auto"/>
        <w:right w:val="none" w:sz="0" w:space="0" w:color="auto"/>
      </w:divBdr>
    </w:div>
    <w:div w:id="931357799">
      <w:marLeft w:val="0"/>
      <w:marRight w:val="0"/>
      <w:marTop w:val="0"/>
      <w:marBottom w:val="0"/>
      <w:divBdr>
        <w:top w:val="none" w:sz="0" w:space="0" w:color="auto"/>
        <w:left w:val="none" w:sz="0" w:space="0" w:color="auto"/>
        <w:bottom w:val="none" w:sz="0" w:space="0" w:color="auto"/>
        <w:right w:val="none" w:sz="0" w:space="0" w:color="auto"/>
      </w:divBdr>
    </w:div>
    <w:div w:id="931357800">
      <w:marLeft w:val="0"/>
      <w:marRight w:val="0"/>
      <w:marTop w:val="0"/>
      <w:marBottom w:val="0"/>
      <w:divBdr>
        <w:top w:val="none" w:sz="0" w:space="0" w:color="auto"/>
        <w:left w:val="none" w:sz="0" w:space="0" w:color="auto"/>
        <w:bottom w:val="none" w:sz="0" w:space="0" w:color="auto"/>
        <w:right w:val="none" w:sz="0" w:space="0" w:color="auto"/>
      </w:divBdr>
    </w:div>
    <w:div w:id="931357801">
      <w:marLeft w:val="0"/>
      <w:marRight w:val="0"/>
      <w:marTop w:val="0"/>
      <w:marBottom w:val="0"/>
      <w:divBdr>
        <w:top w:val="none" w:sz="0" w:space="0" w:color="auto"/>
        <w:left w:val="none" w:sz="0" w:space="0" w:color="auto"/>
        <w:bottom w:val="none" w:sz="0" w:space="0" w:color="auto"/>
        <w:right w:val="none" w:sz="0" w:space="0" w:color="auto"/>
      </w:divBdr>
    </w:div>
    <w:div w:id="931357802">
      <w:marLeft w:val="0"/>
      <w:marRight w:val="0"/>
      <w:marTop w:val="0"/>
      <w:marBottom w:val="0"/>
      <w:divBdr>
        <w:top w:val="none" w:sz="0" w:space="0" w:color="auto"/>
        <w:left w:val="none" w:sz="0" w:space="0" w:color="auto"/>
        <w:bottom w:val="none" w:sz="0" w:space="0" w:color="auto"/>
        <w:right w:val="none" w:sz="0" w:space="0" w:color="auto"/>
      </w:divBdr>
    </w:div>
    <w:div w:id="931357803">
      <w:marLeft w:val="0"/>
      <w:marRight w:val="0"/>
      <w:marTop w:val="0"/>
      <w:marBottom w:val="0"/>
      <w:divBdr>
        <w:top w:val="none" w:sz="0" w:space="0" w:color="auto"/>
        <w:left w:val="none" w:sz="0" w:space="0" w:color="auto"/>
        <w:bottom w:val="none" w:sz="0" w:space="0" w:color="auto"/>
        <w:right w:val="none" w:sz="0" w:space="0" w:color="auto"/>
      </w:divBdr>
    </w:div>
    <w:div w:id="931357804">
      <w:marLeft w:val="0"/>
      <w:marRight w:val="0"/>
      <w:marTop w:val="0"/>
      <w:marBottom w:val="0"/>
      <w:divBdr>
        <w:top w:val="none" w:sz="0" w:space="0" w:color="auto"/>
        <w:left w:val="none" w:sz="0" w:space="0" w:color="auto"/>
        <w:bottom w:val="none" w:sz="0" w:space="0" w:color="auto"/>
        <w:right w:val="none" w:sz="0" w:space="0" w:color="auto"/>
      </w:divBdr>
    </w:div>
    <w:div w:id="931357805">
      <w:marLeft w:val="0"/>
      <w:marRight w:val="0"/>
      <w:marTop w:val="0"/>
      <w:marBottom w:val="0"/>
      <w:divBdr>
        <w:top w:val="none" w:sz="0" w:space="0" w:color="auto"/>
        <w:left w:val="none" w:sz="0" w:space="0" w:color="auto"/>
        <w:bottom w:val="none" w:sz="0" w:space="0" w:color="auto"/>
        <w:right w:val="none" w:sz="0" w:space="0" w:color="auto"/>
      </w:divBdr>
    </w:div>
    <w:div w:id="931357806">
      <w:marLeft w:val="0"/>
      <w:marRight w:val="0"/>
      <w:marTop w:val="0"/>
      <w:marBottom w:val="0"/>
      <w:divBdr>
        <w:top w:val="none" w:sz="0" w:space="0" w:color="auto"/>
        <w:left w:val="none" w:sz="0" w:space="0" w:color="auto"/>
        <w:bottom w:val="none" w:sz="0" w:space="0" w:color="auto"/>
        <w:right w:val="none" w:sz="0" w:space="0" w:color="auto"/>
      </w:divBdr>
    </w:div>
    <w:div w:id="931357807">
      <w:marLeft w:val="0"/>
      <w:marRight w:val="0"/>
      <w:marTop w:val="0"/>
      <w:marBottom w:val="0"/>
      <w:divBdr>
        <w:top w:val="none" w:sz="0" w:space="0" w:color="auto"/>
        <w:left w:val="none" w:sz="0" w:space="0" w:color="auto"/>
        <w:bottom w:val="none" w:sz="0" w:space="0" w:color="auto"/>
        <w:right w:val="none" w:sz="0" w:space="0" w:color="auto"/>
      </w:divBdr>
    </w:div>
    <w:div w:id="931357808">
      <w:marLeft w:val="0"/>
      <w:marRight w:val="0"/>
      <w:marTop w:val="0"/>
      <w:marBottom w:val="0"/>
      <w:divBdr>
        <w:top w:val="none" w:sz="0" w:space="0" w:color="auto"/>
        <w:left w:val="none" w:sz="0" w:space="0" w:color="auto"/>
        <w:bottom w:val="none" w:sz="0" w:space="0" w:color="auto"/>
        <w:right w:val="none" w:sz="0" w:space="0" w:color="auto"/>
      </w:divBdr>
    </w:div>
    <w:div w:id="931357809">
      <w:marLeft w:val="0"/>
      <w:marRight w:val="0"/>
      <w:marTop w:val="0"/>
      <w:marBottom w:val="0"/>
      <w:divBdr>
        <w:top w:val="none" w:sz="0" w:space="0" w:color="auto"/>
        <w:left w:val="none" w:sz="0" w:space="0" w:color="auto"/>
        <w:bottom w:val="none" w:sz="0" w:space="0" w:color="auto"/>
        <w:right w:val="none" w:sz="0" w:space="0" w:color="auto"/>
      </w:divBdr>
    </w:div>
    <w:div w:id="931357810">
      <w:marLeft w:val="0"/>
      <w:marRight w:val="0"/>
      <w:marTop w:val="0"/>
      <w:marBottom w:val="0"/>
      <w:divBdr>
        <w:top w:val="none" w:sz="0" w:space="0" w:color="auto"/>
        <w:left w:val="none" w:sz="0" w:space="0" w:color="auto"/>
        <w:bottom w:val="none" w:sz="0" w:space="0" w:color="auto"/>
        <w:right w:val="none" w:sz="0" w:space="0" w:color="auto"/>
      </w:divBdr>
    </w:div>
    <w:div w:id="931357811">
      <w:marLeft w:val="0"/>
      <w:marRight w:val="0"/>
      <w:marTop w:val="0"/>
      <w:marBottom w:val="0"/>
      <w:divBdr>
        <w:top w:val="none" w:sz="0" w:space="0" w:color="auto"/>
        <w:left w:val="none" w:sz="0" w:space="0" w:color="auto"/>
        <w:bottom w:val="none" w:sz="0" w:space="0" w:color="auto"/>
        <w:right w:val="none" w:sz="0" w:space="0" w:color="auto"/>
      </w:divBdr>
    </w:div>
    <w:div w:id="931357812">
      <w:marLeft w:val="0"/>
      <w:marRight w:val="0"/>
      <w:marTop w:val="0"/>
      <w:marBottom w:val="0"/>
      <w:divBdr>
        <w:top w:val="none" w:sz="0" w:space="0" w:color="auto"/>
        <w:left w:val="none" w:sz="0" w:space="0" w:color="auto"/>
        <w:bottom w:val="none" w:sz="0" w:space="0" w:color="auto"/>
        <w:right w:val="none" w:sz="0" w:space="0" w:color="auto"/>
      </w:divBdr>
    </w:div>
    <w:div w:id="931357813">
      <w:marLeft w:val="0"/>
      <w:marRight w:val="0"/>
      <w:marTop w:val="0"/>
      <w:marBottom w:val="0"/>
      <w:divBdr>
        <w:top w:val="none" w:sz="0" w:space="0" w:color="auto"/>
        <w:left w:val="none" w:sz="0" w:space="0" w:color="auto"/>
        <w:bottom w:val="none" w:sz="0" w:space="0" w:color="auto"/>
        <w:right w:val="none" w:sz="0" w:space="0" w:color="auto"/>
      </w:divBdr>
    </w:div>
    <w:div w:id="931357814">
      <w:marLeft w:val="0"/>
      <w:marRight w:val="0"/>
      <w:marTop w:val="0"/>
      <w:marBottom w:val="0"/>
      <w:divBdr>
        <w:top w:val="none" w:sz="0" w:space="0" w:color="auto"/>
        <w:left w:val="none" w:sz="0" w:space="0" w:color="auto"/>
        <w:bottom w:val="none" w:sz="0" w:space="0" w:color="auto"/>
        <w:right w:val="none" w:sz="0" w:space="0" w:color="auto"/>
      </w:divBdr>
    </w:div>
    <w:div w:id="931357815">
      <w:marLeft w:val="0"/>
      <w:marRight w:val="0"/>
      <w:marTop w:val="0"/>
      <w:marBottom w:val="0"/>
      <w:divBdr>
        <w:top w:val="none" w:sz="0" w:space="0" w:color="auto"/>
        <w:left w:val="none" w:sz="0" w:space="0" w:color="auto"/>
        <w:bottom w:val="none" w:sz="0" w:space="0" w:color="auto"/>
        <w:right w:val="none" w:sz="0" w:space="0" w:color="auto"/>
      </w:divBdr>
    </w:div>
    <w:div w:id="931357816">
      <w:marLeft w:val="0"/>
      <w:marRight w:val="0"/>
      <w:marTop w:val="0"/>
      <w:marBottom w:val="0"/>
      <w:divBdr>
        <w:top w:val="none" w:sz="0" w:space="0" w:color="auto"/>
        <w:left w:val="none" w:sz="0" w:space="0" w:color="auto"/>
        <w:bottom w:val="none" w:sz="0" w:space="0" w:color="auto"/>
        <w:right w:val="none" w:sz="0" w:space="0" w:color="auto"/>
      </w:divBdr>
    </w:div>
    <w:div w:id="931357817">
      <w:marLeft w:val="0"/>
      <w:marRight w:val="0"/>
      <w:marTop w:val="0"/>
      <w:marBottom w:val="0"/>
      <w:divBdr>
        <w:top w:val="none" w:sz="0" w:space="0" w:color="auto"/>
        <w:left w:val="none" w:sz="0" w:space="0" w:color="auto"/>
        <w:bottom w:val="none" w:sz="0" w:space="0" w:color="auto"/>
        <w:right w:val="none" w:sz="0" w:space="0" w:color="auto"/>
      </w:divBdr>
    </w:div>
    <w:div w:id="931357818">
      <w:marLeft w:val="0"/>
      <w:marRight w:val="0"/>
      <w:marTop w:val="0"/>
      <w:marBottom w:val="0"/>
      <w:divBdr>
        <w:top w:val="none" w:sz="0" w:space="0" w:color="auto"/>
        <w:left w:val="none" w:sz="0" w:space="0" w:color="auto"/>
        <w:bottom w:val="none" w:sz="0" w:space="0" w:color="auto"/>
        <w:right w:val="none" w:sz="0" w:space="0" w:color="auto"/>
      </w:divBdr>
    </w:div>
    <w:div w:id="931357819">
      <w:marLeft w:val="0"/>
      <w:marRight w:val="0"/>
      <w:marTop w:val="0"/>
      <w:marBottom w:val="0"/>
      <w:divBdr>
        <w:top w:val="none" w:sz="0" w:space="0" w:color="auto"/>
        <w:left w:val="none" w:sz="0" w:space="0" w:color="auto"/>
        <w:bottom w:val="none" w:sz="0" w:space="0" w:color="auto"/>
        <w:right w:val="none" w:sz="0" w:space="0" w:color="auto"/>
      </w:divBdr>
    </w:div>
    <w:div w:id="931357820">
      <w:marLeft w:val="0"/>
      <w:marRight w:val="0"/>
      <w:marTop w:val="0"/>
      <w:marBottom w:val="0"/>
      <w:divBdr>
        <w:top w:val="none" w:sz="0" w:space="0" w:color="auto"/>
        <w:left w:val="none" w:sz="0" w:space="0" w:color="auto"/>
        <w:bottom w:val="none" w:sz="0" w:space="0" w:color="auto"/>
        <w:right w:val="none" w:sz="0" w:space="0" w:color="auto"/>
      </w:divBdr>
    </w:div>
    <w:div w:id="931357821">
      <w:marLeft w:val="0"/>
      <w:marRight w:val="0"/>
      <w:marTop w:val="0"/>
      <w:marBottom w:val="0"/>
      <w:divBdr>
        <w:top w:val="none" w:sz="0" w:space="0" w:color="auto"/>
        <w:left w:val="none" w:sz="0" w:space="0" w:color="auto"/>
        <w:bottom w:val="none" w:sz="0" w:space="0" w:color="auto"/>
        <w:right w:val="none" w:sz="0" w:space="0" w:color="auto"/>
      </w:divBdr>
    </w:div>
    <w:div w:id="931357822">
      <w:marLeft w:val="0"/>
      <w:marRight w:val="0"/>
      <w:marTop w:val="0"/>
      <w:marBottom w:val="0"/>
      <w:divBdr>
        <w:top w:val="none" w:sz="0" w:space="0" w:color="auto"/>
        <w:left w:val="none" w:sz="0" w:space="0" w:color="auto"/>
        <w:bottom w:val="none" w:sz="0" w:space="0" w:color="auto"/>
        <w:right w:val="none" w:sz="0" w:space="0" w:color="auto"/>
      </w:divBdr>
    </w:div>
    <w:div w:id="931357823">
      <w:marLeft w:val="0"/>
      <w:marRight w:val="0"/>
      <w:marTop w:val="0"/>
      <w:marBottom w:val="0"/>
      <w:divBdr>
        <w:top w:val="none" w:sz="0" w:space="0" w:color="auto"/>
        <w:left w:val="none" w:sz="0" w:space="0" w:color="auto"/>
        <w:bottom w:val="none" w:sz="0" w:space="0" w:color="auto"/>
        <w:right w:val="none" w:sz="0" w:space="0" w:color="auto"/>
      </w:divBdr>
    </w:div>
    <w:div w:id="931357824">
      <w:marLeft w:val="0"/>
      <w:marRight w:val="0"/>
      <w:marTop w:val="0"/>
      <w:marBottom w:val="0"/>
      <w:divBdr>
        <w:top w:val="none" w:sz="0" w:space="0" w:color="auto"/>
        <w:left w:val="none" w:sz="0" w:space="0" w:color="auto"/>
        <w:bottom w:val="none" w:sz="0" w:space="0" w:color="auto"/>
        <w:right w:val="none" w:sz="0" w:space="0" w:color="auto"/>
      </w:divBdr>
    </w:div>
    <w:div w:id="931357825">
      <w:marLeft w:val="0"/>
      <w:marRight w:val="0"/>
      <w:marTop w:val="0"/>
      <w:marBottom w:val="0"/>
      <w:divBdr>
        <w:top w:val="none" w:sz="0" w:space="0" w:color="auto"/>
        <w:left w:val="none" w:sz="0" w:space="0" w:color="auto"/>
        <w:bottom w:val="none" w:sz="0" w:space="0" w:color="auto"/>
        <w:right w:val="none" w:sz="0" w:space="0" w:color="auto"/>
      </w:divBdr>
    </w:div>
    <w:div w:id="931357826">
      <w:marLeft w:val="0"/>
      <w:marRight w:val="0"/>
      <w:marTop w:val="0"/>
      <w:marBottom w:val="0"/>
      <w:divBdr>
        <w:top w:val="none" w:sz="0" w:space="0" w:color="auto"/>
        <w:left w:val="none" w:sz="0" w:space="0" w:color="auto"/>
        <w:bottom w:val="none" w:sz="0" w:space="0" w:color="auto"/>
        <w:right w:val="none" w:sz="0" w:space="0" w:color="auto"/>
      </w:divBdr>
    </w:div>
    <w:div w:id="931357827">
      <w:marLeft w:val="0"/>
      <w:marRight w:val="0"/>
      <w:marTop w:val="0"/>
      <w:marBottom w:val="0"/>
      <w:divBdr>
        <w:top w:val="none" w:sz="0" w:space="0" w:color="auto"/>
        <w:left w:val="none" w:sz="0" w:space="0" w:color="auto"/>
        <w:bottom w:val="none" w:sz="0" w:space="0" w:color="auto"/>
        <w:right w:val="none" w:sz="0" w:space="0" w:color="auto"/>
      </w:divBdr>
    </w:div>
    <w:div w:id="931357828">
      <w:marLeft w:val="0"/>
      <w:marRight w:val="0"/>
      <w:marTop w:val="0"/>
      <w:marBottom w:val="0"/>
      <w:divBdr>
        <w:top w:val="none" w:sz="0" w:space="0" w:color="auto"/>
        <w:left w:val="none" w:sz="0" w:space="0" w:color="auto"/>
        <w:bottom w:val="none" w:sz="0" w:space="0" w:color="auto"/>
        <w:right w:val="none" w:sz="0" w:space="0" w:color="auto"/>
      </w:divBdr>
    </w:div>
    <w:div w:id="931357829">
      <w:marLeft w:val="0"/>
      <w:marRight w:val="0"/>
      <w:marTop w:val="0"/>
      <w:marBottom w:val="0"/>
      <w:divBdr>
        <w:top w:val="none" w:sz="0" w:space="0" w:color="auto"/>
        <w:left w:val="none" w:sz="0" w:space="0" w:color="auto"/>
        <w:bottom w:val="none" w:sz="0" w:space="0" w:color="auto"/>
        <w:right w:val="none" w:sz="0" w:space="0" w:color="auto"/>
      </w:divBdr>
    </w:div>
    <w:div w:id="931357830">
      <w:marLeft w:val="0"/>
      <w:marRight w:val="0"/>
      <w:marTop w:val="0"/>
      <w:marBottom w:val="0"/>
      <w:divBdr>
        <w:top w:val="none" w:sz="0" w:space="0" w:color="auto"/>
        <w:left w:val="none" w:sz="0" w:space="0" w:color="auto"/>
        <w:bottom w:val="none" w:sz="0" w:space="0" w:color="auto"/>
        <w:right w:val="none" w:sz="0" w:space="0" w:color="auto"/>
      </w:divBdr>
    </w:div>
    <w:div w:id="931357831">
      <w:marLeft w:val="0"/>
      <w:marRight w:val="0"/>
      <w:marTop w:val="0"/>
      <w:marBottom w:val="0"/>
      <w:divBdr>
        <w:top w:val="none" w:sz="0" w:space="0" w:color="auto"/>
        <w:left w:val="none" w:sz="0" w:space="0" w:color="auto"/>
        <w:bottom w:val="none" w:sz="0" w:space="0" w:color="auto"/>
        <w:right w:val="none" w:sz="0" w:space="0" w:color="auto"/>
      </w:divBdr>
    </w:div>
    <w:div w:id="931357832">
      <w:marLeft w:val="0"/>
      <w:marRight w:val="0"/>
      <w:marTop w:val="0"/>
      <w:marBottom w:val="0"/>
      <w:divBdr>
        <w:top w:val="none" w:sz="0" w:space="0" w:color="auto"/>
        <w:left w:val="none" w:sz="0" w:space="0" w:color="auto"/>
        <w:bottom w:val="none" w:sz="0" w:space="0" w:color="auto"/>
        <w:right w:val="none" w:sz="0" w:space="0" w:color="auto"/>
      </w:divBdr>
    </w:div>
    <w:div w:id="931357833">
      <w:marLeft w:val="0"/>
      <w:marRight w:val="0"/>
      <w:marTop w:val="0"/>
      <w:marBottom w:val="0"/>
      <w:divBdr>
        <w:top w:val="none" w:sz="0" w:space="0" w:color="auto"/>
        <w:left w:val="none" w:sz="0" w:space="0" w:color="auto"/>
        <w:bottom w:val="none" w:sz="0" w:space="0" w:color="auto"/>
        <w:right w:val="none" w:sz="0" w:space="0" w:color="auto"/>
      </w:divBdr>
    </w:div>
    <w:div w:id="931357834">
      <w:marLeft w:val="0"/>
      <w:marRight w:val="0"/>
      <w:marTop w:val="0"/>
      <w:marBottom w:val="0"/>
      <w:divBdr>
        <w:top w:val="none" w:sz="0" w:space="0" w:color="auto"/>
        <w:left w:val="none" w:sz="0" w:space="0" w:color="auto"/>
        <w:bottom w:val="none" w:sz="0" w:space="0" w:color="auto"/>
        <w:right w:val="none" w:sz="0" w:space="0" w:color="auto"/>
      </w:divBdr>
    </w:div>
    <w:div w:id="931357835">
      <w:marLeft w:val="0"/>
      <w:marRight w:val="0"/>
      <w:marTop w:val="0"/>
      <w:marBottom w:val="0"/>
      <w:divBdr>
        <w:top w:val="none" w:sz="0" w:space="0" w:color="auto"/>
        <w:left w:val="none" w:sz="0" w:space="0" w:color="auto"/>
        <w:bottom w:val="none" w:sz="0" w:space="0" w:color="auto"/>
        <w:right w:val="none" w:sz="0" w:space="0" w:color="auto"/>
      </w:divBdr>
    </w:div>
    <w:div w:id="931357836">
      <w:marLeft w:val="0"/>
      <w:marRight w:val="0"/>
      <w:marTop w:val="0"/>
      <w:marBottom w:val="0"/>
      <w:divBdr>
        <w:top w:val="none" w:sz="0" w:space="0" w:color="auto"/>
        <w:left w:val="none" w:sz="0" w:space="0" w:color="auto"/>
        <w:bottom w:val="none" w:sz="0" w:space="0" w:color="auto"/>
        <w:right w:val="none" w:sz="0" w:space="0" w:color="auto"/>
      </w:divBdr>
    </w:div>
    <w:div w:id="931357837">
      <w:marLeft w:val="0"/>
      <w:marRight w:val="0"/>
      <w:marTop w:val="0"/>
      <w:marBottom w:val="0"/>
      <w:divBdr>
        <w:top w:val="none" w:sz="0" w:space="0" w:color="auto"/>
        <w:left w:val="none" w:sz="0" w:space="0" w:color="auto"/>
        <w:bottom w:val="none" w:sz="0" w:space="0" w:color="auto"/>
        <w:right w:val="none" w:sz="0" w:space="0" w:color="auto"/>
      </w:divBdr>
    </w:div>
    <w:div w:id="931357838">
      <w:marLeft w:val="0"/>
      <w:marRight w:val="0"/>
      <w:marTop w:val="0"/>
      <w:marBottom w:val="0"/>
      <w:divBdr>
        <w:top w:val="none" w:sz="0" w:space="0" w:color="auto"/>
        <w:left w:val="none" w:sz="0" w:space="0" w:color="auto"/>
        <w:bottom w:val="none" w:sz="0" w:space="0" w:color="auto"/>
        <w:right w:val="none" w:sz="0" w:space="0" w:color="auto"/>
      </w:divBdr>
    </w:div>
    <w:div w:id="931357839">
      <w:marLeft w:val="0"/>
      <w:marRight w:val="0"/>
      <w:marTop w:val="0"/>
      <w:marBottom w:val="0"/>
      <w:divBdr>
        <w:top w:val="none" w:sz="0" w:space="0" w:color="auto"/>
        <w:left w:val="none" w:sz="0" w:space="0" w:color="auto"/>
        <w:bottom w:val="none" w:sz="0" w:space="0" w:color="auto"/>
        <w:right w:val="none" w:sz="0" w:space="0" w:color="auto"/>
      </w:divBdr>
    </w:div>
    <w:div w:id="931357840">
      <w:marLeft w:val="0"/>
      <w:marRight w:val="0"/>
      <w:marTop w:val="0"/>
      <w:marBottom w:val="0"/>
      <w:divBdr>
        <w:top w:val="none" w:sz="0" w:space="0" w:color="auto"/>
        <w:left w:val="none" w:sz="0" w:space="0" w:color="auto"/>
        <w:bottom w:val="none" w:sz="0" w:space="0" w:color="auto"/>
        <w:right w:val="none" w:sz="0" w:space="0" w:color="auto"/>
      </w:divBdr>
    </w:div>
    <w:div w:id="931357841">
      <w:marLeft w:val="0"/>
      <w:marRight w:val="0"/>
      <w:marTop w:val="0"/>
      <w:marBottom w:val="0"/>
      <w:divBdr>
        <w:top w:val="none" w:sz="0" w:space="0" w:color="auto"/>
        <w:left w:val="none" w:sz="0" w:space="0" w:color="auto"/>
        <w:bottom w:val="none" w:sz="0" w:space="0" w:color="auto"/>
        <w:right w:val="none" w:sz="0" w:space="0" w:color="auto"/>
      </w:divBdr>
    </w:div>
    <w:div w:id="931357842">
      <w:marLeft w:val="0"/>
      <w:marRight w:val="0"/>
      <w:marTop w:val="0"/>
      <w:marBottom w:val="0"/>
      <w:divBdr>
        <w:top w:val="none" w:sz="0" w:space="0" w:color="auto"/>
        <w:left w:val="none" w:sz="0" w:space="0" w:color="auto"/>
        <w:bottom w:val="none" w:sz="0" w:space="0" w:color="auto"/>
        <w:right w:val="none" w:sz="0" w:space="0" w:color="auto"/>
      </w:divBdr>
    </w:div>
    <w:div w:id="931357843">
      <w:marLeft w:val="0"/>
      <w:marRight w:val="0"/>
      <w:marTop w:val="0"/>
      <w:marBottom w:val="0"/>
      <w:divBdr>
        <w:top w:val="none" w:sz="0" w:space="0" w:color="auto"/>
        <w:left w:val="none" w:sz="0" w:space="0" w:color="auto"/>
        <w:bottom w:val="none" w:sz="0" w:space="0" w:color="auto"/>
        <w:right w:val="none" w:sz="0" w:space="0" w:color="auto"/>
      </w:divBdr>
    </w:div>
    <w:div w:id="931357844">
      <w:marLeft w:val="0"/>
      <w:marRight w:val="0"/>
      <w:marTop w:val="0"/>
      <w:marBottom w:val="0"/>
      <w:divBdr>
        <w:top w:val="none" w:sz="0" w:space="0" w:color="auto"/>
        <w:left w:val="none" w:sz="0" w:space="0" w:color="auto"/>
        <w:bottom w:val="none" w:sz="0" w:space="0" w:color="auto"/>
        <w:right w:val="none" w:sz="0" w:space="0" w:color="auto"/>
      </w:divBdr>
    </w:div>
    <w:div w:id="931357845">
      <w:marLeft w:val="0"/>
      <w:marRight w:val="0"/>
      <w:marTop w:val="0"/>
      <w:marBottom w:val="0"/>
      <w:divBdr>
        <w:top w:val="none" w:sz="0" w:space="0" w:color="auto"/>
        <w:left w:val="none" w:sz="0" w:space="0" w:color="auto"/>
        <w:bottom w:val="none" w:sz="0" w:space="0" w:color="auto"/>
        <w:right w:val="none" w:sz="0" w:space="0" w:color="auto"/>
      </w:divBdr>
    </w:div>
    <w:div w:id="931357846">
      <w:marLeft w:val="0"/>
      <w:marRight w:val="0"/>
      <w:marTop w:val="0"/>
      <w:marBottom w:val="0"/>
      <w:divBdr>
        <w:top w:val="none" w:sz="0" w:space="0" w:color="auto"/>
        <w:left w:val="none" w:sz="0" w:space="0" w:color="auto"/>
        <w:bottom w:val="none" w:sz="0" w:space="0" w:color="auto"/>
        <w:right w:val="none" w:sz="0" w:space="0" w:color="auto"/>
      </w:divBdr>
    </w:div>
    <w:div w:id="931357847">
      <w:marLeft w:val="0"/>
      <w:marRight w:val="0"/>
      <w:marTop w:val="0"/>
      <w:marBottom w:val="0"/>
      <w:divBdr>
        <w:top w:val="none" w:sz="0" w:space="0" w:color="auto"/>
        <w:left w:val="none" w:sz="0" w:space="0" w:color="auto"/>
        <w:bottom w:val="none" w:sz="0" w:space="0" w:color="auto"/>
        <w:right w:val="none" w:sz="0" w:space="0" w:color="auto"/>
      </w:divBdr>
    </w:div>
    <w:div w:id="931357848">
      <w:marLeft w:val="0"/>
      <w:marRight w:val="0"/>
      <w:marTop w:val="0"/>
      <w:marBottom w:val="0"/>
      <w:divBdr>
        <w:top w:val="none" w:sz="0" w:space="0" w:color="auto"/>
        <w:left w:val="none" w:sz="0" w:space="0" w:color="auto"/>
        <w:bottom w:val="none" w:sz="0" w:space="0" w:color="auto"/>
        <w:right w:val="none" w:sz="0" w:space="0" w:color="auto"/>
      </w:divBdr>
    </w:div>
    <w:div w:id="931357849">
      <w:marLeft w:val="0"/>
      <w:marRight w:val="0"/>
      <w:marTop w:val="0"/>
      <w:marBottom w:val="0"/>
      <w:divBdr>
        <w:top w:val="none" w:sz="0" w:space="0" w:color="auto"/>
        <w:left w:val="none" w:sz="0" w:space="0" w:color="auto"/>
        <w:bottom w:val="none" w:sz="0" w:space="0" w:color="auto"/>
        <w:right w:val="none" w:sz="0" w:space="0" w:color="auto"/>
      </w:divBdr>
    </w:div>
    <w:div w:id="931357850">
      <w:marLeft w:val="0"/>
      <w:marRight w:val="0"/>
      <w:marTop w:val="0"/>
      <w:marBottom w:val="0"/>
      <w:divBdr>
        <w:top w:val="none" w:sz="0" w:space="0" w:color="auto"/>
        <w:left w:val="none" w:sz="0" w:space="0" w:color="auto"/>
        <w:bottom w:val="none" w:sz="0" w:space="0" w:color="auto"/>
        <w:right w:val="none" w:sz="0" w:space="0" w:color="auto"/>
      </w:divBdr>
    </w:div>
    <w:div w:id="931357851">
      <w:marLeft w:val="0"/>
      <w:marRight w:val="0"/>
      <w:marTop w:val="0"/>
      <w:marBottom w:val="0"/>
      <w:divBdr>
        <w:top w:val="none" w:sz="0" w:space="0" w:color="auto"/>
        <w:left w:val="none" w:sz="0" w:space="0" w:color="auto"/>
        <w:bottom w:val="none" w:sz="0" w:space="0" w:color="auto"/>
        <w:right w:val="none" w:sz="0" w:space="0" w:color="auto"/>
      </w:divBdr>
    </w:div>
    <w:div w:id="931357852">
      <w:marLeft w:val="0"/>
      <w:marRight w:val="0"/>
      <w:marTop w:val="0"/>
      <w:marBottom w:val="0"/>
      <w:divBdr>
        <w:top w:val="none" w:sz="0" w:space="0" w:color="auto"/>
        <w:left w:val="none" w:sz="0" w:space="0" w:color="auto"/>
        <w:bottom w:val="none" w:sz="0" w:space="0" w:color="auto"/>
        <w:right w:val="none" w:sz="0" w:space="0" w:color="auto"/>
      </w:divBdr>
    </w:div>
    <w:div w:id="931357853">
      <w:marLeft w:val="0"/>
      <w:marRight w:val="0"/>
      <w:marTop w:val="0"/>
      <w:marBottom w:val="0"/>
      <w:divBdr>
        <w:top w:val="none" w:sz="0" w:space="0" w:color="auto"/>
        <w:left w:val="none" w:sz="0" w:space="0" w:color="auto"/>
        <w:bottom w:val="none" w:sz="0" w:space="0" w:color="auto"/>
        <w:right w:val="none" w:sz="0" w:space="0" w:color="auto"/>
      </w:divBdr>
    </w:div>
    <w:div w:id="931357854">
      <w:marLeft w:val="0"/>
      <w:marRight w:val="0"/>
      <w:marTop w:val="0"/>
      <w:marBottom w:val="0"/>
      <w:divBdr>
        <w:top w:val="none" w:sz="0" w:space="0" w:color="auto"/>
        <w:left w:val="none" w:sz="0" w:space="0" w:color="auto"/>
        <w:bottom w:val="none" w:sz="0" w:space="0" w:color="auto"/>
        <w:right w:val="none" w:sz="0" w:space="0" w:color="auto"/>
      </w:divBdr>
    </w:div>
    <w:div w:id="931357855">
      <w:marLeft w:val="0"/>
      <w:marRight w:val="0"/>
      <w:marTop w:val="0"/>
      <w:marBottom w:val="0"/>
      <w:divBdr>
        <w:top w:val="none" w:sz="0" w:space="0" w:color="auto"/>
        <w:left w:val="none" w:sz="0" w:space="0" w:color="auto"/>
        <w:bottom w:val="none" w:sz="0" w:space="0" w:color="auto"/>
        <w:right w:val="none" w:sz="0" w:space="0" w:color="auto"/>
      </w:divBdr>
    </w:div>
    <w:div w:id="931357856">
      <w:marLeft w:val="0"/>
      <w:marRight w:val="0"/>
      <w:marTop w:val="0"/>
      <w:marBottom w:val="0"/>
      <w:divBdr>
        <w:top w:val="none" w:sz="0" w:space="0" w:color="auto"/>
        <w:left w:val="none" w:sz="0" w:space="0" w:color="auto"/>
        <w:bottom w:val="none" w:sz="0" w:space="0" w:color="auto"/>
        <w:right w:val="none" w:sz="0" w:space="0" w:color="auto"/>
      </w:divBdr>
    </w:div>
    <w:div w:id="931357857">
      <w:marLeft w:val="0"/>
      <w:marRight w:val="0"/>
      <w:marTop w:val="0"/>
      <w:marBottom w:val="0"/>
      <w:divBdr>
        <w:top w:val="none" w:sz="0" w:space="0" w:color="auto"/>
        <w:left w:val="none" w:sz="0" w:space="0" w:color="auto"/>
        <w:bottom w:val="none" w:sz="0" w:space="0" w:color="auto"/>
        <w:right w:val="none" w:sz="0" w:space="0" w:color="auto"/>
      </w:divBdr>
    </w:div>
    <w:div w:id="931357858">
      <w:marLeft w:val="0"/>
      <w:marRight w:val="0"/>
      <w:marTop w:val="0"/>
      <w:marBottom w:val="0"/>
      <w:divBdr>
        <w:top w:val="none" w:sz="0" w:space="0" w:color="auto"/>
        <w:left w:val="none" w:sz="0" w:space="0" w:color="auto"/>
        <w:bottom w:val="none" w:sz="0" w:space="0" w:color="auto"/>
        <w:right w:val="none" w:sz="0" w:space="0" w:color="auto"/>
      </w:divBdr>
    </w:div>
    <w:div w:id="931357859">
      <w:marLeft w:val="0"/>
      <w:marRight w:val="0"/>
      <w:marTop w:val="0"/>
      <w:marBottom w:val="0"/>
      <w:divBdr>
        <w:top w:val="none" w:sz="0" w:space="0" w:color="auto"/>
        <w:left w:val="none" w:sz="0" w:space="0" w:color="auto"/>
        <w:bottom w:val="none" w:sz="0" w:space="0" w:color="auto"/>
        <w:right w:val="none" w:sz="0" w:space="0" w:color="auto"/>
      </w:divBdr>
    </w:div>
    <w:div w:id="931357860">
      <w:marLeft w:val="0"/>
      <w:marRight w:val="0"/>
      <w:marTop w:val="0"/>
      <w:marBottom w:val="0"/>
      <w:divBdr>
        <w:top w:val="none" w:sz="0" w:space="0" w:color="auto"/>
        <w:left w:val="none" w:sz="0" w:space="0" w:color="auto"/>
        <w:bottom w:val="none" w:sz="0" w:space="0" w:color="auto"/>
        <w:right w:val="none" w:sz="0" w:space="0" w:color="auto"/>
      </w:divBdr>
    </w:div>
    <w:div w:id="931357861">
      <w:marLeft w:val="0"/>
      <w:marRight w:val="0"/>
      <w:marTop w:val="0"/>
      <w:marBottom w:val="0"/>
      <w:divBdr>
        <w:top w:val="none" w:sz="0" w:space="0" w:color="auto"/>
        <w:left w:val="none" w:sz="0" w:space="0" w:color="auto"/>
        <w:bottom w:val="none" w:sz="0" w:space="0" w:color="auto"/>
        <w:right w:val="none" w:sz="0" w:space="0" w:color="auto"/>
      </w:divBdr>
    </w:div>
    <w:div w:id="931357862">
      <w:marLeft w:val="0"/>
      <w:marRight w:val="0"/>
      <w:marTop w:val="0"/>
      <w:marBottom w:val="0"/>
      <w:divBdr>
        <w:top w:val="none" w:sz="0" w:space="0" w:color="auto"/>
        <w:left w:val="none" w:sz="0" w:space="0" w:color="auto"/>
        <w:bottom w:val="none" w:sz="0" w:space="0" w:color="auto"/>
        <w:right w:val="none" w:sz="0" w:space="0" w:color="auto"/>
      </w:divBdr>
    </w:div>
    <w:div w:id="931357863">
      <w:marLeft w:val="0"/>
      <w:marRight w:val="0"/>
      <w:marTop w:val="0"/>
      <w:marBottom w:val="0"/>
      <w:divBdr>
        <w:top w:val="none" w:sz="0" w:space="0" w:color="auto"/>
        <w:left w:val="none" w:sz="0" w:space="0" w:color="auto"/>
        <w:bottom w:val="none" w:sz="0" w:space="0" w:color="auto"/>
        <w:right w:val="none" w:sz="0" w:space="0" w:color="auto"/>
      </w:divBdr>
    </w:div>
    <w:div w:id="931357864">
      <w:marLeft w:val="0"/>
      <w:marRight w:val="0"/>
      <w:marTop w:val="0"/>
      <w:marBottom w:val="0"/>
      <w:divBdr>
        <w:top w:val="none" w:sz="0" w:space="0" w:color="auto"/>
        <w:left w:val="none" w:sz="0" w:space="0" w:color="auto"/>
        <w:bottom w:val="none" w:sz="0" w:space="0" w:color="auto"/>
        <w:right w:val="none" w:sz="0" w:space="0" w:color="auto"/>
      </w:divBdr>
    </w:div>
    <w:div w:id="931357865">
      <w:marLeft w:val="0"/>
      <w:marRight w:val="0"/>
      <w:marTop w:val="0"/>
      <w:marBottom w:val="0"/>
      <w:divBdr>
        <w:top w:val="none" w:sz="0" w:space="0" w:color="auto"/>
        <w:left w:val="none" w:sz="0" w:space="0" w:color="auto"/>
        <w:bottom w:val="none" w:sz="0" w:space="0" w:color="auto"/>
        <w:right w:val="none" w:sz="0" w:space="0" w:color="auto"/>
      </w:divBdr>
    </w:div>
    <w:div w:id="931357866">
      <w:marLeft w:val="0"/>
      <w:marRight w:val="0"/>
      <w:marTop w:val="0"/>
      <w:marBottom w:val="0"/>
      <w:divBdr>
        <w:top w:val="none" w:sz="0" w:space="0" w:color="auto"/>
        <w:left w:val="none" w:sz="0" w:space="0" w:color="auto"/>
        <w:bottom w:val="none" w:sz="0" w:space="0" w:color="auto"/>
        <w:right w:val="none" w:sz="0" w:space="0" w:color="auto"/>
      </w:divBdr>
    </w:div>
    <w:div w:id="931357867">
      <w:marLeft w:val="0"/>
      <w:marRight w:val="0"/>
      <w:marTop w:val="0"/>
      <w:marBottom w:val="0"/>
      <w:divBdr>
        <w:top w:val="none" w:sz="0" w:space="0" w:color="auto"/>
        <w:left w:val="none" w:sz="0" w:space="0" w:color="auto"/>
        <w:bottom w:val="none" w:sz="0" w:space="0" w:color="auto"/>
        <w:right w:val="none" w:sz="0" w:space="0" w:color="auto"/>
      </w:divBdr>
    </w:div>
    <w:div w:id="931357868">
      <w:marLeft w:val="0"/>
      <w:marRight w:val="0"/>
      <w:marTop w:val="0"/>
      <w:marBottom w:val="0"/>
      <w:divBdr>
        <w:top w:val="none" w:sz="0" w:space="0" w:color="auto"/>
        <w:left w:val="none" w:sz="0" w:space="0" w:color="auto"/>
        <w:bottom w:val="none" w:sz="0" w:space="0" w:color="auto"/>
        <w:right w:val="none" w:sz="0" w:space="0" w:color="auto"/>
      </w:divBdr>
    </w:div>
    <w:div w:id="931357869">
      <w:marLeft w:val="0"/>
      <w:marRight w:val="0"/>
      <w:marTop w:val="0"/>
      <w:marBottom w:val="0"/>
      <w:divBdr>
        <w:top w:val="none" w:sz="0" w:space="0" w:color="auto"/>
        <w:left w:val="none" w:sz="0" w:space="0" w:color="auto"/>
        <w:bottom w:val="none" w:sz="0" w:space="0" w:color="auto"/>
        <w:right w:val="none" w:sz="0" w:space="0" w:color="auto"/>
      </w:divBdr>
    </w:div>
    <w:div w:id="931357870">
      <w:marLeft w:val="0"/>
      <w:marRight w:val="0"/>
      <w:marTop w:val="0"/>
      <w:marBottom w:val="0"/>
      <w:divBdr>
        <w:top w:val="none" w:sz="0" w:space="0" w:color="auto"/>
        <w:left w:val="none" w:sz="0" w:space="0" w:color="auto"/>
        <w:bottom w:val="none" w:sz="0" w:space="0" w:color="auto"/>
        <w:right w:val="none" w:sz="0" w:space="0" w:color="auto"/>
      </w:divBdr>
    </w:div>
    <w:div w:id="931357871">
      <w:marLeft w:val="0"/>
      <w:marRight w:val="0"/>
      <w:marTop w:val="0"/>
      <w:marBottom w:val="0"/>
      <w:divBdr>
        <w:top w:val="none" w:sz="0" w:space="0" w:color="auto"/>
        <w:left w:val="none" w:sz="0" w:space="0" w:color="auto"/>
        <w:bottom w:val="none" w:sz="0" w:space="0" w:color="auto"/>
        <w:right w:val="none" w:sz="0" w:space="0" w:color="auto"/>
      </w:divBdr>
    </w:div>
    <w:div w:id="931357872">
      <w:marLeft w:val="0"/>
      <w:marRight w:val="0"/>
      <w:marTop w:val="0"/>
      <w:marBottom w:val="0"/>
      <w:divBdr>
        <w:top w:val="none" w:sz="0" w:space="0" w:color="auto"/>
        <w:left w:val="none" w:sz="0" w:space="0" w:color="auto"/>
        <w:bottom w:val="none" w:sz="0" w:space="0" w:color="auto"/>
        <w:right w:val="none" w:sz="0" w:space="0" w:color="auto"/>
      </w:divBdr>
    </w:div>
    <w:div w:id="931357873">
      <w:marLeft w:val="0"/>
      <w:marRight w:val="0"/>
      <w:marTop w:val="0"/>
      <w:marBottom w:val="0"/>
      <w:divBdr>
        <w:top w:val="none" w:sz="0" w:space="0" w:color="auto"/>
        <w:left w:val="none" w:sz="0" w:space="0" w:color="auto"/>
        <w:bottom w:val="none" w:sz="0" w:space="0" w:color="auto"/>
        <w:right w:val="none" w:sz="0" w:space="0" w:color="auto"/>
      </w:divBdr>
    </w:div>
    <w:div w:id="931357874">
      <w:marLeft w:val="0"/>
      <w:marRight w:val="0"/>
      <w:marTop w:val="0"/>
      <w:marBottom w:val="0"/>
      <w:divBdr>
        <w:top w:val="none" w:sz="0" w:space="0" w:color="auto"/>
        <w:left w:val="none" w:sz="0" w:space="0" w:color="auto"/>
        <w:bottom w:val="none" w:sz="0" w:space="0" w:color="auto"/>
        <w:right w:val="none" w:sz="0" w:space="0" w:color="auto"/>
      </w:divBdr>
    </w:div>
    <w:div w:id="931357875">
      <w:marLeft w:val="0"/>
      <w:marRight w:val="0"/>
      <w:marTop w:val="0"/>
      <w:marBottom w:val="0"/>
      <w:divBdr>
        <w:top w:val="none" w:sz="0" w:space="0" w:color="auto"/>
        <w:left w:val="none" w:sz="0" w:space="0" w:color="auto"/>
        <w:bottom w:val="none" w:sz="0" w:space="0" w:color="auto"/>
        <w:right w:val="none" w:sz="0" w:space="0" w:color="auto"/>
      </w:divBdr>
    </w:div>
    <w:div w:id="931357876">
      <w:marLeft w:val="0"/>
      <w:marRight w:val="0"/>
      <w:marTop w:val="0"/>
      <w:marBottom w:val="0"/>
      <w:divBdr>
        <w:top w:val="none" w:sz="0" w:space="0" w:color="auto"/>
        <w:left w:val="none" w:sz="0" w:space="0" w:color="auto"/>
        <w:bottom w:val="none" w:sz="0" w:space="0" w:color="auto"/>
        <w:right w:val="none" w:sz="0" w:space="0" w:color="auto"/>
      </w:divBdr>
    </w:div>
    <w:div w:id="931357877">
      <w:marLeft w:val="0"/>
      <w:marRight w:val="0"/>
      <w:marTop w:val="0"/>
      <w:marBottom w:val="0"/>
      <w:divBdr>
        <w:top w:val="none" w:sz="0" w:space="0" w:color="auto"/>
        <w:left w:val="none" w:sz="0" w:space="0" w:color="auto"/>
        <w:bottom w:val="none" w:sz="0" w:space="0" w:color="auto"/>
        <w:right w:val="none" w:sz="0" w:space="0" w:color="auto"/>
      </w:divBdr>
    </w:div>
    <w:div w:id="931357878">
      <w:marLeft w:val="0"/>
      <w:marRight w:val="0"/>
      <w:marTop w:val="0"/>
      <w:marBottom w:val="0"/>
      <w:divBdr>
        <w:top w:val="none" w:sz="0" w:space="0" w:color="auto"/>
        <w:left w:val="none" w:sz="0" w:space="0" w:color="auto"/>
        <w:bottom w:val="none" w:sz="0" w:space="0" w:color="auto"/>
        <w:right w:val="none" w:sz="0" w:space="0" w:color="auto"/>
      </w:divBdr>
    </w:div>
    <w:div w:id="931357879">
      <w:marLeft w:val="0"/>
      <w:marRight w:val="0"/>
      <w:marTop w:val="0"/>
      <w:marBottom w:val="0"/>
      <w:divBdr>
        <w:top w:val="none" w:sz="0" w:space="0" w:color="auto"/>
        <w:left w:val="none" w:sz="0" w:space="0" w:color="auto"/>
        <w:bottom w:val="none" w:sz="0" w:space="0" w:color="auto"/>
        <w:right w:val="none" w:sz="0" w:space="0" w:color="auto"/>
      </w:divBdr>
    </w:div>
    <w:div w:id="931357880">
      <w:marLeft w:val="0"/>
      <w:marRight w:val="0"/>
      <w:marTop w:val="0"/>
      <w:marBottom w:val="0"/>
      <w:divBdr>
        <w:top w:val="none" w:sz="0" w:space="0" w:color="auto"/>
        <w:left w:val="none" w:sz="0" w:space="0" w:color="auto"/>
        <w:bottom w:val="none" w:sz="0" w:space="0" w:color="auto"/>
        <w:right w:val="none" w:sz="0" w:space="0" w:color="auto"/>
      </w:divBdr>
    </w:div>
    <w:div w:id="931357881">
      <w:marLeft w:val="0"/>
      <w:marRight w:val="0"/>
      <w:marTop w:val="0"/>
      <w:marBottom w:val="0"/>
      <w:divBdr>
        <w:top w:val="none" w:sz="0" w:space="0" w:color="auto"/>
        <w:left w:val="none" w:sz="0" w:space="0" w:color="auto"/>
        <w:bottom w:val="none" w:sz="0" w:space="0" w:color="auto"/>
        <w:right w:val="none" w:sz="0" w:space="0" w:color="auto"/>
      </w:divBdr>
    </w:div>
    <w:div w:id="931357882">
      <w:marLeft w:val="0"/>
      <w:marRight w:val="0"/>
      <w:marTop w:val="0"/>
      <w:marBottom w:val="0"/>
      <w:divBdr>
        <w:top w:val="none" w:sz="0" w:space="0" w:color="auto"/>
        <w:left w:val="none" w:sz="0" w:space="0" w:color="auto"/>
        <w:bottom w:val="none" w:sz="0" w:space="0" w:color="auto"/>
        <w:right w:val="none" w:sz="0" w:space="0" w:color="auto"/>
      </w:divBdr>
    </w:div>
    <w:div w:id="931357883">
      <w:marLeft w:val="0"/>
      <w:marRight w:val="0"/>
      <w:marTop w:val="0"/>
      <w:marBottom w:val="0"/>
      <w:divBdr>
        <w:top w:val="none" w:sz="0" w:space="0" w:color="auto"/>
        <w:left w:val="none" w:sz="0" w:space="0" w:color="auto"/>
        <w:bottom w:val="none" w:sz="0" w:space="0" w:color="auto"/>
        <w:right w:val="none" w:sz="0" w:space="0" w:color="auto"/>
      </w:divBdr>
    </w:div>
    <w:div w:id="931357884">
      <w:marLeft w:val="0"/>
      <w:marRight w:val="0"/>
      <w:marTop w:val="0"/>
      <w:marBottom w:val="0"/>
      <w:divBdr>
        <w:top w:val="none" w:sz="0" w:space="0" w:color="auto"/>
        <w:left w:val="none" w:sz="0" w:space="0" w:color="auto"/>
        <w:bottom w:val="none" w:sz="0" w:space="0" w:color="auto"/>
        <w:right w:val="none" w:sz="0" w:space="0" w:color="auto"/>
      </w:divBdr>
    </w:div>
    <w:div w:id="931357885">
      <w:marLeft w:val="0"/>
      <w:marRight w:val="0"/>
      <w:marTop w:val="0"/>
      <w:marBottom w:val="0"/>
      <w:divBdr>
        <w:top w:val="none" w:sz="0" w:space="0" w:color="auto"/>
        <w:left w:val="none" w:sz="0" w:space="0" w:color="auto"/>
        <w:bottom w:val="none" w:sz="0" w:space="0" w:color="auto"/>
        <w:right w:val="none" w:sz="0" w:space="0" w:color="auto"/>
      </w:divBdr>
    </w:div>
    <w:div w:id="931357886">
      <w:marLeft w:val="0"/>
      <w:marRight w:val="0"/>
      <w:marTop w:val="0"/>
      <w:marBottom w:val="0"/>
      <w:divBdr>
        <w:top w:val="none" w:sz="0" w:space="0" w:color="auto"/>
        <w:left w:val="none" w:sz="0" w:space="0" w:color="auto"/>
        <w:bottom w:val="none" w:sz="0" w:space="0" w:color="auto"/>
        <w:right w:val="none" w:sz="0" w:space="0" w:color="auto"/>
      </w:divBdr>
    </w:div>
    <w:div w:id="931357887">
      <w:marLeft w:val="0"/>
      <w:marRight w:val="0"/>
      <w:marTop w:val="0"/>
      <w:marBottom w:val="0"/>
      <w:divBdr>
        <w:top w:val="none" w:sz="0" w:space="0" w:color="auto"/>
        <w:left w:val="none" w:sz="0" w:space="0" w:color="auto"/>
        <w:bottom w:val="none" w:sz="0" w:space="0" w:color="auto"/>
        <w:right w:val="none" w:sz="0" w:space="0" w:color="auto"/>
      </w:divBdr>
    </w:div>
    <w:div w:id="931357888">
      <w:marLeft w:val="0"/>
      <w:marRight w:val="0"/>
      <w:marTop w:val="0"/>
      <w:marBottom w:val="0"/>
      <w:divBdr>
        <w:top w:val="none" w:sz="0" w:space="0" w:color="auto"/>
        <w:left w:val="none" w:sz="0" w:space="0" w:color="auto"/>
        <w:bottom w:val="none" w:sz="0" w:space="0" w:color="auto"/>
        <w:right w:val="none" w:sz="0" w:space="0" w:color="auto"/>
      </w:divBdr>
    </w:div>
    <w:div w:id="931357889">
      <w:marLeft w:val="0"/>
      <w:marRight w:val="0"/>
      <w:marTop w:val="0"/>
      <w:marBottom w:val="0"/>
      <w:divBdr>
        <w:top w:val="none" w:sz="0" w:space="0" w:color="auto"/>
        <w:left w:val="none" w:sz="0" w:space="0" w:color="auto"/>
        <w:bottom w:val="none" w:sz="0" w:space="0" w:color="auto"/>
        <w:right w:val="none" w:sz="0" w:space="0" w:color="auto"/>
      </w:divBdr>
    </w:div>
    <w:div w:id="931357890">
      <w:marLeft w:val="0"/>
      <w:marRight w:val="0"/>
      <w:marTop w:val="0"/>
      <w:marBottom w:val="0"/>
      <w:divBdr>
        <w:top w:val="none" w:sz="0" w:space="0" w:color="auto"/>
        <w:left w:val="none" w:sz="0" w:space="0" w:color="auto"/>
        <w:bottom w:val="none" w:sz="0" w:space="0" w:color="auto"/>
        <w:right w:val="none" w:sz="0" w:space="0" w:color="auto"/>
      </w:divBdr>
    </w:div>
    <w:div w:id="931357891">
      <w:marLeft w:val="0"/>
      <w:marRight w:val="0"/>
      <w:marTop w:val="0"/>
      <w:marBottom w:val="0"/>
      <w:divBdr>
        <w:top w:val="none" w:sz="0" w:space="0" w:color="auto"/>
        <w:left w:val="none" w:sz="0" w:space="0" w:color="auto"/>
        <w:bottom w:val="none" w:sz="0" w:space="0" w:color="auto"/>
        <w:right w:val="none" w:sz="0" w:space="0" w:color="auto"/>
      </w:divBdr>
    </w:div>
    <w:div w:id="931357892">
      <w:marLeft w:val="0"/>
      <w:marRight w:val="0"/>
      <w:marTop w:val="0"/>
      <w:marBottom w:val="0"/>
      <w:divBdr>
        <w:top w:val="none" w:sz="0" w:space="0" w:color="auto"/>
        <w:left w:val="none" w:sz="0" w:space="0" w:color="auto"/>
        <w:bottom w:val="none" w:sz="0" w:space="0" w:color="auto"/>
        <w:right w:val="none" w:sz="0" w:space="0" w:color="auto"/>
      </w:divBdr>
    </w:div>
    <w:div w:id="931357893">
      <w:marLeft w:val="0"/>
      <w:marRight w:val="0"/>
      <w:marTop w:val="0"/>
      <w:marBottom w:val="0"/>
      <w:divBdr>
        <w:top w:val="none" w:sz="0" w:space="0" w:color="auto"/>
        <w:left w:val="none" w:sz="0" w:space="0" w:color="auto"/>
        <w:bottom w:val="none" w:sz="0" w:space="0" w:color="auto"/>
        <w:right w:val="none" w:sz="0" w:space="0" w:color="auto"/>
      </w:divBdr>
    </w:div>
    <w:div w:id="931357894">
      <w:marLeft w:val="0"/>
      <w:marRight w:val="0"/>
      <w:marTop w:val="0"/>
      <w:marBottom w:val="0"/>
      <w:divBdr>
        <w:top w:val="none" w:sz="0" w:space="0" w:color="auto"/>
        <w:left w:val="none" w:sz="0" w:space="0" w:color="auto"/>
        <w:bottom w:val="none" w:sz="0" w:space="0" w:color="auto"/>
        <w:right w:val="none" w:sz="0" w:space="0" w:color="auto"/>
      </w:divBdr>
    </w:div>
    <w:div w:id="931357895">
      <w:marLeft w:val="0"/>
      <w:marRight w:val="0"/>
      <w:marTop w:val="0"/>
      <w:marBottom w:val="0"/>
      <w:divBdr>
        <w:top w:val="none" w:sz="0" w:space="0" w:color="auto"/>
        <w:left w:val="none" w:sz="0" w:space="0" w:color="auto"/>
        <w:bottom w:val="none" w:sz="0" w:space="0" w:color="auto"/>
        <w:right w:val="none" w:sz="0" w:space="0" w:color="auto"/>
      </w:divBdr>
    </w:div>
    <w:div w:id="931357896">
      <w:marLeft w:val="0"/>
      <w:marRight w:val="0"/>
      <w:marTop w:val="0"/>
      <w:marBottom w:val="0"/>
      <w:divBdr>
        <w:top w:val="none" w:sz="0" w:space="0" w:color="auto"/>
        <w:left w:val="none" w:sz="0" w:space="0" w:color="auto"/>
        <w:bottom w:val="none" w:sz="0" w:space="0" w:color="auto"/>
        <w:right w:val="none" w:sz="0" w:space="0" w:color="auto"/>
      </w:divBdr>
    </w:div>
    <w:div w:id="931357897">
      <w:marLeft w:val="0"/>
      <w:marRight w:val="0"/>
      <w:marTop w:val="0"/>
      <w:marBottom w:val="0"/>
      <w:divBdr>
        <w:top w:val="none" w:sz="0" w:space="0" w:color="auto"/>
        <w:left w:val="none" w:sz="0" w:space="0" w:color="auto"/>
        <w:bottom w:val="none" w:sz="0" w:space="0" w:color="auto"/>
        <w:right w:val="none" w:sz="0" w:space="0" w:color="auto"/>
      </w:divBdr>
    </w:div>
    <w:div w:id="931357898">
      <w:marLeft w:val="0"/>
      <w:marRight w:val="0"/>
      <w:marTop w:val="0"/>
      <w:marBottom w:val="0"/>
      <w:divBdr>
        <w:top w:val="none" w:sz="0" w:space="0" w:color="auto"/>
        <w:left w:val="none" w:sz="0" w:space="0" w:color="auto"/>
        <w:bottom w:val="none" w:sz="0" w:space="0" w:color="auto"/>
        <w:right w:val="none" w:sz="0" w:space="0" w:color="auto"/>
      </w:divBdr>
    </w:div>
    <w:div w:id="931357899">
      <w:marLeft w:val="0"/>
      <w:marRight w:val="0"/>
      <w:marTop w:val="0"/>
      <w:marBottom w:val="0"/>
      <w:divBdr>
        <w:top w:val="none" w:sz="0" w:space="0" w:color="auto"/>
        <w:left w:val="none" w:sz="0" w:space="0" w:color="auto"/>
        <w:bottom w:val="none" w:sz="0" w:space="0" w:color="auto"/>
        <w:right w:val="none" w:sz="0" w:space="0" w:color="auto"/>
      </w:divBdr>
    </w:div>
    <w:div w:id="931357900">
      <w:marLeft w:val="0"/>
      <w:marRight w:val="0"/>
      <w:marTop w:val="0"/>
      <w:marBottom w:val="0"/>
      <w:divBdr>
        <w:top w:val="none" w:sz="0" w:space="0" w:color="auto"/>
        <w:left w:val="none" w:sz="0" w:space="0" w:color="auto"/>
        <w:bottom w:val="none" w:sz="0" w:space="0" w:color="auto"/>
        <w:right w:val="none" w:sz="0" w:space="0" w:color="auto"/>
      </w:divBdr>
    </w:div>
    <w:div w:id="931357901">
      <w:marLeft w:val="0"/>
      <w:marRight w:val="0"/>
      <w:marTop w:val="0"/>
      <w:marBottom w:val="0"/>
      <w:divBdr>
        <w:top w:val="none" w:sz="0" w:space="0" w:color="auto"/>
        <w:left w:val="none" w:sz="0" w:space="0" w:color="auto"/>
        <w:bottom w:val="none" w:sz="0" w:space="0" w:color="auto"/>
        <w:right w:val="none" w:sz="0" w:space="0" w:color="auto"/>
      </w:divBdr>
    </w:div>
    <w:div w:id="931357902">
      <w:marLeft w:val="0"/>
      <w:marRight w:val="0"/>
      <w:marTop w:val="0"/>
      <w:marBottom w:val="0"/>
      <w:divBdr>
        <w:top w:val="none" w:sz="0" w:space="0" w:color="auto"/>
        <w:left w:val="none" w:sz="0" w:space="0" w:color="auto"/>
        <w:bottom w:val="none" w:sz="0" w:space="0" w:color="auto"/>
        <w:right w:val="none" w:sz="0" w:space="0" w:color="auto"/>
      </w:divBdr>
    </w:div>
    <w:div w:id="931357903">
      <w:marLeft w:val="0"/>
      <w:marRight w:val="0"/>
      <w:marTop w:val="0"/>
      <w:marBottom w:val="0"/>
      <w:divBdr>
        <w:top w:val="none" w:sz="0" w:space="0" w:color="auto"/>
        <w:left w:val="none" w:sz="0" w:space="0" w:color="auto"/>
        <w:bottom w:val="none" w:sz="0" w:space="0" w:color="auto"/>
        <w:right w:val="none" w:sz="0" w:space="0" w:color="auto"/>
      </w:divBdr>
    </w:div>
    <w:div w:id="931357904">
      <w:marLeft w:val="0"/>
      <w:marRight w:val="0"/>
      <w:marTop w:val="0"/>
      <w:marBottom w:val="0"/>
      <w:divBdr>
        <w:top w:val="none" w:sz="0" w:space="0" w:color="auto"/>
        <w:left w:val="none" w:sz="0" w:space="0" w:color="auto"/>
        <w:bottom w:val="none" w:sz="0" w:space="0" w:color="auto"/>
        <w:right w:val="none" w:sz="0" w:space="0" w:color="auto"/>
      </w:divBdr>
    </w:div>
    <w:div w:id="931357905">
      <w:marLeft w:val="0"/>
      <w:marRight w:val="0"/>
      <w:marTop w:val="0"/>
      <w:marBottom w:val="0"/>
      <w:divBdr>
        <w:top w:val="none" w:sz="0" w:space="0" w:color="auto"/>
        <w:left w:val="none" w:sz="0" w:space="0" w:color="auto"/>
        <w:bottom w:val="none" w:sz="0" w:space="0" w:color="auto"/>
        <w:right w:val="none" w:sz="0" w:space="0" w:color="auto"/>
      </w:divBdr>
    </w:div>
    <w:div w:id="931357906">
      <w:marLeft w:val="0"/>
      <w:marRight w:val="0"/>
      <w:marTop w:val="0"/>
      <w:marBottom w:val="0"/>
      <w:divBdr>
        <w:top w:val="none" w:sz="0" w:space="0" w:color="auto"/>
        <w:left w:val="none" w:sz="0" w:space="0" w:color="auto"/>
        <w:bottom w:val="none" w:sz="0" w:space="0" w:color="auto"/>
        <w:right w:val="none" w:sz="0" w:space="0" w:color="auto"/>
      </w:divBdr>
    </w:div>
    <w:div w:id="931357907">
      <w:marLeft w:val="0"/>
      <w:marRight w:val="0"/>
      <w:marTop w:val="0"/>
      <w:marBottom w:val="0"/>
      <w:divBdr>
        <w:top w:val="none" w:sz="0" w:space="0" w:color="auto"/>
        <w:left w:val="none" w:sz="0" w:space="0" w:color="auto"/>
        <w:bottom w:val="none" w:sz="0" w:space="0" w:color="auto"/>
        <w:right w:val="none" w:sz="0" w:space="0" w:color="auto"/>
      </w:divBdr>
    </w:div>
    <w:div w:id="931357908">
      <w:marLeft w:val="0"/>
      <w:marRight w:val="0"/>
      <w:marTop w:val="0"/>
      <w:marBottom w:val="0"/>
      <w:divBdr>
        <w:top w:val="none" w:sz="0" w:space="0" w:color="auto"/>
        <w:left w:val="none" w:sz="0" w:space="0" w:color="auto"/>
        <w:bottom w:val="none" w:sz="0" w:space="0" w:color="auto"/>
        <w:right w:val="none" w:sz="0" w:space="0" w:color="auto"/>
      </w:divBdr>
    </w:div>
    <w:div w:id="931357909">
      <w:marLeft w:val="0"/>
      <w:marRight w:val="0"/>
      <w:marTop w:val="0"/>
      <w:marBottom w:val="0"/>
      <w:divBdr>
        <w:top w:val="none" w:sz="0" w:space="0" w:color="auto"/>
        <w:left w:val="none" w:sz="0" w:space="0" w:color="auto"/>
        <w:bottom w:val="none" w:sz="0" w:space="0" w:color="auto"/>
        <w:right w:val="none" w:sz="0" w:space="0" w:color="auto"/>
      </w:divBdr>
    </w:div>
    <w:div w:id="931357910">
      <w:marLeft w:val="0"/>
      <w:marRight w:val="0"/>
      <w:marTop w:val="0"/>
      <w:marBottom w:val="0"/>
      <w:divBdr>
        <w:top w:val="none" w:sz="0" w:space="0" w:color="auto"/>
        <w:left w:val="none" w:sz="0" w:space="0" w:color="auto"/>
        <w:bottom w:val="none" w:sz="0" w:space="0" w:color="auto"/>
        <w:right w:val="none" w:sz="0" w:space="0" w:color="auto"/>
      </w:divBdr>
    </w:div>
    <w:div w:id="931357911">
      <w:marLeft w:val="0"/>
      <w:marRight w:val="0"/>
      <w:marTop w:val="0"/>
      <w:marBottom w:val="0"/>
      <w:divBdr>
        <w:top w:val="none" w:sz="0" w:space="0" w:color="auto"/>
        <w:left w:val="none" w:sz="0" w:space="0" w:color="auto"/>
        <w:bottom w:val="none" w:sz="0" w:space="0" w:color="auto"/>
        <w:right w:val="none" w:sz="0" w:space="0" w:color="auto"/>
      </w:divBdr>
    </w:div>
    <w:div w:id="931357912">
      <w:marLeft w:val="0"/>
      <w:marRight w:val="0"/>
      <w:marTop w:val="0"/>
      <w:marBottom w:val="0"/>
      <w:divBdr>
        <w:top w:val="none" w:sz="0" w:space="0" w:color="auto"/>
        <w:left w:val="none" w:sz="0" w:space="0" w:color="auto"/>
        <w:bottom w:val="none" w:sz="0" w:space="0" w:color="auto"/>
        <w:right w:val="none" w:sz="0" w:space="0" w:color="auto"/>
      </w:divBdr>
    </w:div>
    <w:div w:id="931357913">
      <w:marLeft w:val="0"/>
      <w:marRight w:val="0"/>
      <w:marTop w:val="0"/>
      <w:marBottom w:val="0"/>
      <w:divBdr>
        <w:top w:val="none" w:sz="0" w:space="0" w:color="auto"/>
        <w:left w:val="none" w:sz="0" w:space="0" w:color="auto"/>
        <w:bottom w:val="none" w:sz="0" w:space="0" w:color="auto"/>
        <w:right w:val="none" w:sz="0" w:space="0" w:color="auto"/>
      </w:divBdr>
    </w:div>
    <w:div w:id="931357914">
      <w:marLeft w:val="0"/>
      <w:marRight w:val="0"/>
      <w:marTop w:val="0"/>
      <w:marBottom w:val="0"/>
      <w:divBdr>
        <w:top w:val="none" w:sz="0" w:space="0" w:color="auto"/>
        <w:left w:val="none" w:sz="0" w:space="0" w:color="auto"/>
        <w:bottom w:val="none" w:sz="0" w:space="0" w:color="auto"/>
        <w:right w:val="none" w:sz="0" w:space="0" w:color="auto"/>
      </w:divBdr>
    </w:div>
    <w:div w:id="931357915">
      <w:marLeft w:val="0"/>
      <w:marRight w:val="0"/>
      <w:marTop w:val="0"/>
      <w:marBottom w:val="0"/>
      <w:divBdr>
        <w:top w:val="none" w:sz="0" w:space="0" w:color="auto"/>
        <w:left w:val="none" w:sz="0" w:space="0" w:color="auto"/>
        <w:bottom w:val="none" w:sz="0" w:space="0" w:color="auto"/>
        <w:right w:val="none" w:sz="0" w:space="0" w:color="auto"/>
      </w:divBdr>
    </w:div>
    <w:div w:id="942499273">
      <w:bodyDiv w:val="1"/>
      <w:marLeft w:val="0"/>
      <w:marRight w:val="0"/>
      <w:marTop w:val="0"/>
      <w:marBottom w:val="0"/>
      <w:divBdr>
        <w:top w:val="none" w:sz="0" w:space="0" w:color="auto"/>
        <w:left w:val="none" w:sz="0" w:space="0" w:color="auto"/>
        <w:bottom w:val="none" w:sz="0" w:space="0" w:color="auto"/>
        <w:right w:val="none" w:sz="0" w:space="0" w:color="auto"/>
      </w:divBdr>
    </w:div>
    <w:div w:id="944187982">
      <w:bodyDiv w:val="1"/>
      <w:marLeft w:val="0"/>
      <w:marRight w:val="0"/>
      <w:marTop w:val="0"/>
      <w:marBottom w:val="0"/>
      <w:divBdr>
        <w:top w:val="none" w:sz="0" w:space="0" w:color="auto"/>
        <w:left w:val="none" w:sz="0" w:space="0" w:color="auto"/>
        <w:bottom w:val="none" w:sz="0" w:space="0" w:color="auto"/>
        <w:right w:val="none" w:sz="0" w:space="0" w:color="auto"/>
      </w:divBdr>
    </w:div>
    <w:div w:id="964965737">
      <w:bodyDiv w:val="1"/>
      <w:marLeft w:val="0"/>
      <w:marRight w:val="0"/>
      <w:marTop w:val="0"/>
      <w:marBottom w:val="0"/>
      <w:divBdr>
        <w:top w:val="none" w:sz="0" w:space="0" w:color="auto"/>
        <w:left w:val="none" w:sz="0" w:space="0" w:color="auto"/>
        <w:bottom w:val="none" w:sz="0" w:space="0" w:color="auto"/>
        <w:right w:val="none" w:sz="0" w:space="0" w:color="auto"/>
      </w:divBdr>
    </w:div>
    <w:div w:id="973870741">
      <w:bodyDiv w:val="1"/>
      <w:marLeft w:val="0"/>
      <w:marRight w:val="0"/>
      <w:marTop w:val="0"/>
      <w:marBottom w:val="0"/>
      <w:divBdr>
        <w:top w:val="none" w:sz="0" w:space="0" w:color="auto"/>
        <w:left w:val="none" w:sz="0" w:space="0" w:color="auto"/>
        <w:bottom w:val="none" w:sz="0" w:space="0" w:color="auto"/>
        <w:right w:val="none" w:sz="0" w:space="0" w:color="auto"/>
      </w:divBdr>
    </w:div>
    <w:div w:id="1020744178">
      <w:bodyDiv w:val="1"/>
      <w:marLeft w:val="0"/>
      <w:marRight w:val="0"/>
      <w:marTop w:val="0"/>
      <w:marBottom w:val="0"/>
      <w:divBdr>
        <w:top w:val="none" w:sz="0" w:space="0" w:color="auto"/>
        <w:left w:val="none" w:sz="0" w:space="0" w:color="auto"/>
        <w:bottom w:val="none" w:sz="0" w:space="0" w:color="auto"/>
        <w:right w:val="none" w:sz="0" w:space="0" w:color="auto"/>
      </w:divBdr>
    </w:div>
    <w:div w:id="1052192158">
      <w:bodyDiv w:val="1"/>
      <w:marLeft w:val="0"/>
      <w:marRight w:val="0"/>
      <w:marTop w:val="0"/>
      <w:marBottom w:val="0"/>
      <w:divBdr>
        <w:top w:val="none" w:sz="0" w:space="0" w:color="auto"/>
        <w:left w:val="none" w:sz="0" w:space="0" w:color="auto"/>
        <w:bottom w:val="none" w:sz="0" w:space="0" w:color="auto"/>
        <w:right w:val="none" w:sz="0" w:space="0" w:color="auto"/>
      </w:divBdr>
    </w:div>
    <w:div w:id="1064373342">
      <w:bodyDiv w:val="1"/>
      <w:marLeft w:val="0"/>
      <w:marRight w:val="0"/>
      <w:marTop w:val="0"/>
      <w:marBottom w:val="0"/>
      <w:divBdr>
        <w:top w:val="none" w:sz="0" w:space="0" w:color="auto"/>
        <w:left w:val="none" w:sz="0" w:space="0" w:color="auto"/>
        <w:bottom w:val="none" w:sz="0" w:space="0" w:color="auto"/>
        <w:right w:val="none" w:sz="0" w:space="0" w:color="auto"/>
      </w:divBdr>
    </w:div>
    <w:div w:id="1163472046">
      <w:bodyDiv w:val="1"/>
      <w:marLeft w:val="0"/>
      <w:marRight w:val="0"/>
      <w:marTop w:val="0"/>
      <w:marBottom w:val="0"/>
      <w:divBdr>
        <w:top w:val="none" w:sz="0" w:space="0" w:color="auto"/>
        <w:left w:val="none" w:sz="0" w:space="0" w:color="auto"/>
        <w:bottom w:val="none" w:sz="0" w:space="0" w:color="auto"/>
        <w:right w:val="none" w:sz="0" w:space="0" w:color="auto"/>
      </w:divBdr>
    </w:div>
    <w:div w:id="1170483809">
      <w:bodyDiv w:val="1"/>
      <w:marLeft w:val="0"/>
      <w:marRight w:val="0"/>
      <w:marTop w:val="0"/>
      <w:marBottom w:val="0"/>
      <w:divBdr>
        <w:top w:val="none" w:sz="0" w:space="0" w:color="auto"/>
        <w:left w:val="none" w:sz="0" w:space="0" w:color="auto"/>
        <w:bottom w:val="none" w:sz="0" w:space="0" w:color="auto"/>
        <w:right w:val="none" w:sz="0" w:space="0" w:color="auto"/>
      </w:divBdr>
    </w:div>
    <w:div w:id="1206990705">
      <w:bodyDiv w:val="1"/>
      <w:marLeft w:val="0"/>
      <w:marRight w:val="0"/>
      <w:marTop w:val="0"/>
      <w:marBottom w:val="0"/>
      <w:divBdr>
        <w:top w:val="none" w:sz="0" w:space="0" w:color="auto"/>
        <w:left w:val="none" w:sz="0" w:space="0" w:color="auto"/>
        <w:bottom w:val="none" w:sz="0" w:space="0" w:color="auto"/>
        <w:right w:val="none" w:sz="0" w:space="0" w:color="auto"/>
      </w:divBdr>
    </w:div>
    <w:div w:id="1215234937">
      <w:bodyDiv w:val="1"/>
      <w:marLeft w:val="0"/>
      <w:marRight w:val="0"/>
      <w:marTop w:val="0"/>
      <w:marBottom w:val="0"/>
      <w:divBdr>
        <w:top w:val="none" w:sz="0" w:space="0" w:color="auto"/>
        <w:left w:val="none" w:sz="0" w:space="0" w:color="auto"/>
        <w:bottom w:val="none" w:sz="0" w:space="0" w:color="auto"/>
        <w:right w:val="none" w:sz="0" w:space="0" w:color="auto"/>
      </w:divBdr>
    </w:div>
    <w:div w:id="1227646378">
      <w:bodyDiv w:val="1"/>
      <w:marLeft w:val="0"/>
      <w:marRight w:val="0"/>
      <w:marTop w:val="0"/>
      <w:marBottom w:val="0"/>
      <w:divBdr>
        <w:top w:val="none" w:sz="0" w:space="0" w:color="auto"/>
        <w:left w:val="none" w:sz="0" w:space="0" w:color="auto"/>
        <w:bottom w:val="none" w:sz="0" w:space="0" w:color="auto"/>
        <w:right w:val="none" w:sz="0" w:space="0" w:color="auto"/>
      </w:divBdr>
    </w:div>
    <w:div w:id="1256666222">
      <w:bodyDiv w:val="1"/>
      <w:marLeft w:val="0"/>
      <w:marRight w:val="0"/>
      <w:marTop w:val="0"/>
      <w:marBottom w:val="0"/>
      <w:divBdr>
        <w:top w:val="none" w:sz="0" w:space="0" w:color="auto"/>
        <w:left w:val="none" w:sz="0" w:space="0" w:color="auto"/>
        <w:bottom w:val="none" w:sz="0" w:space="0" w:color="auto"/>
        <w:right w:val="none" w:sz="0" w:space="0" w:color="auto"/>
      </w:divBdr>
    </w:div>
    <w:div w:id="1295284799">
      <w:bodyDiv w:val="1"/>
      <w:marLeft w:val="0"/>
      <w:marRight w:val="0"/>
      <w:marTop w:val="0"/>
      <w:marBottom w:val="0"/>
      <w:divBdr>
        <w:top w:val="none" w:sz="0" w:space="0" w:color="auto"/>
        <w:left w:val="none" w:sz="0" w:space="0" w:color="auto"/>
        <w:bottom w:val="none" w:sz="0" w:space="0" w:color="auto"/>
        <w:right w:val="none" w:sz="0" w:space="0" w:color="auto"/>
      </w:divBdr>
      <w:divsChild>
        <w:div w:id="1184784733">
          <w:marLeft w:val="432"/>
          <w:marRight w:val="0"/>
          <w:marTop w:val="0"/>
          <w:marBottom w:val="0"/>
          <w:divBdr>
            <w:top w:val="none" w:sz="0" w:space="0" w:color="auto"/>
            <w:left w:val="none" w:sz="0" w:space="0" w:color="auto"/>
            <w:bottom w:val="none" w:sz="0" w:space="0" w:color="auto"/>
            <w:right w:val="none" w:sz="0" w:space="0" w:color="auto"/>
          </w:divBdr>
        </w:div>
      </w:divsChild>
    </w:div>
    <w:div w:id="1315642548">
      <w:bodyDiv w:val="1"/>
      <w:marLeft w:val="0"/>
      <w:marRight w:val="0"/>
      <w:marTop w:val="0"/>
      <w:marBottom w:val="0"/>
      <w:divBdr>
        <w:top w:val="none" w:sz="0" w:space="0" w:color="auto"/>
        <w:left w:val="none" w:sz="0" w:space="0" w:color="auto"/>
        <w:bottom w:val="none" w:sz="0" w:space="0" w:color="auto"/>
        <w:right w:val="none" w:sz="0" w:space="0" w:color="auto"/>
      </w:divBdr>
    </w:div>
    <w:div w:id="1324117608">
      <w:bodyDiv w:val="1"/>
      <w:marLeft w:val="0"/>
      <w:marRight w:val="0"/>
      <w:marTop w:val="0"/>
      <w:marBottom w:val="0"/>
      <w:divBdr>
        <w:top w:val="none" w:sz="0" w:space="0" w:color="auto"/>
        <w:left w:val="none" w:sz="0" w:space="0" w:color="auto"/>
        <w:bottom w:val="none" w:sz="0" w:space="0" w:color="auto"/>
        <w:right w:val="none" w:sz="0" w:space="0" w:color="auto"/>
      </w:divBdr>
    </w:div>
    <w:div w:id="1330408571">
      <w:bodyDiv w:val="1"/>
      <w:marLeft w:val="0"/>
      <w:marRight w:val="0"/>
      <w:marTop w:val="0"/>
      <w:marBottom w:val="0"/>
      <w:divBdr>
        <w:top w:val="none" w:sz="0" w:space="0" w:color="auto"/>
        <w:left w:val="none" w:sz="0" w:space="0" w:color="auto"/>
        <w:bottom w:val="none" w:sz="0" w:space="0" w:color="auto"/>
        <w:right w:val="none" w:sz="0" w:space="0" w:color="auto"/>
      </w:divBdr>
    </w:div>
    <w:div w:id="1352952435">
      <w:bodyDiv w:val="1"/>
      <w:marLeft w:val="0"/>
      <w:marRight w:val="0"/>
      <w:marTop w:val="0"/>
      <w:marBottom w:val="0"/>
      <w:divBdr>
        <w:top w:val="none" w:sz="0" w:space="0" w:color="auto"/>
        <w:left w:val="none" w:sz="0" w:space="0" w:color="auto"/>
        <w:bottom w:val="none" w:sz="0" w:space="0" w:color="auto"/>
        <w:right w:val="none" w:sz="0" w:space="0" w:color="auto"/>
      </w:divBdr>
    </w:div>
    <w:div w:id="1356881586">
      <w:bodyDiv w:val="1"/>
      <w:marLeft w:val="0"/>
      <w:marRight w:val="0"/>
      <w:marTop w:val="0"/>
      <w:marBottom w:val="0"/>
      <w:divBdr>
        <w:top w:val="none" w:sz="0" w:space="0" w:color="auto"/>
        <w:left w:val="none" w:sz="0" w:space="0" w:color="auto"/>
        <w:bottom w:val="none" w:sz="0" w:space="0" w:color="auto"/>
        <w:right w:val="none" w:sz="0" w:space="0" w:color="auto"/>
      </w:divBdr>
    </w:div>
    <w:div w:id="1368066870">
      <w:bodyDiv w:val="1"/>
      <w:marLeft w:val="0"/>
      <w:marRight w:val="0"/>
      <w:marTop w:val="0"/>
      <w:marBottom w:val="0"/>
      <w:divBdr>
        <w:top w:val="none" w:sz="0" w:space="0" w:color="auto"/>
        <w:left w:val="none" w:sz="0" w:space="0" w:color="auto"/>
        <w:bottom w:val="none" w:sz="0" w:space="0" w:color="auto"/>
        <w:right w:val="none" w:sz="0" w:space="0" w:color="auto"/>
      </w:divBdr>
      <w:divsChild>
        <w:div w:id="97800416">
          <w:marLeft w:val="446"/>
          <w:marRight w:val="0"/>
          <w:marTop w:val="80"/>
          <w:marBottom w:val="80"/>
          <w:divBdr>
            <w:top w:val="none" w:sz="0" w:space="0" w:color="auto"/>
            <w:left w:val="none" w:sz="0" w:space="0" w:color="auto"/>
            <w:bottom w:val="none" w:sz="0" w:space="0" w:color="auto"/>
            <w:right w:val="none" w:sz="0" w:space="0" w:color="auto"/>
          </w:divBdr>
        </w:div>
        <w:div w:id="499581575">
          <w:marLeft w:val="446"/>
          <w:marRight w:val="0"/>
          <w:marTop w:val="80"/>
          <w:marBottom w:val="80"/>
          <w:divBdr>
            <w:top w:val="none" w:sz="0" w:space="0" w:color="auto"/>
            <w:left w:val="none" w:sz="0" w:space="0" w:color="auto"/>
            <w:bottom w:val="none" w:sz="0" w:space="0" w:color="auto"/>
            <w:right w:val="none" w:sz="0" w:space="0" w:color="auto"/>
          </w:divBdr>
        </w:div>
        <w:div w:id="718087096">
          <w:marLeft w:val="446"/>
          <w:marRight w:val="0"/>
          <w:marTop w:val="80"/>
          <w:marBottom w:val="80"/>
          <w:divBdr>
            <w:top w:val="none" w:sz="0" w:space="0" w:color="auto"/>
            <w:left w:val="none" w:sz="0" w:space="0" w:color="auto"/>
            <w:bottom w:val="none" w:sz="0" w:space="0" w:color="auto"/>
            <w:right w:val="none" w:sz="0" w:space="0" w:color="auto"/>
          </w:divBdr>
        </w:div>
      </w:divsChild>
    </w:div>
    <w:div w:id="1390032532">
      <w:bodyDiv w:val="1"/>
      <w:marLeft w:val="0"/>
      <w:marRight w:val="0"/>
      <w:marTop w:val="0"/>
      <w:marBottom w:val="0"/>
      <w:divBdr>
        <w:top w:val="none" w:sz="0" w:space="0" w:color="auto"/>
        <w:left w:val="none" w:sz="0" w:space="0" w:color="auto"/>
        <w:bottom w:val="none" w:sz="0" w:space="0" w:color="auto"/>
        <w:right w:val="none" w:sz="0" w:space="0" w:color="auto"/>
      </w:divBdr>
    </w:div>
    <w:div w:id="1431464571">
      <w:bodyDiv w:val="1"/>
      <w:marLeft w:val="0"/>
      <w:marRight w:val="0"/>
      <w:marTop w:val="0"/>
      <w:marBottom w:val="0"/>
      <w:divBdr>
        <w:top w:val="none" w:sz="0" w:space="0" w:color="auto"/>
        <w:left w:val="none" w:sz="0" w:space="0" w:color="auto"/>
        <w:bottom w:val="none" w:sz="0" w:space="0" w:color="auto"/>
        <w:right w:val="none" w:sz="0" w:space="0" w:color="auto"/>
      </w:divBdr>
    </w:div>
    <w:div w:id="1476683073">
      <w:bodyDiv w:val="1"/>
      <w:marLeft w:val="0"/>
      <w:marRight w:val="0"/>
      <w:marTop w:val="0"/>
      <w:marBottom w:val="0"/>
      <w:divBdr>
        <w:top w:val="none" w:sz="0" w:space="0" w:color="auto"/>
        <w:left w:val="none" w:sz="0" w:space="0" w:color="auto"/>
        <w:bottom w:val="none" w:sz="0" w:space="0" w:color="auto"/>
        <w:right w:val="none" w:sz="0" w:space="0" w:color="auto"/>
      </w:divBdr>
    </w:div>
    <w:div w:id="1494947994">
      <w:bodyDiv w:val="1"/>
      <w:marLeft w:val="0"/>
      <w:marRight w:val="0"/>
      <w:marTop w:val="0"/>
      <w:marBottom w:val="0"/>
      <w:divBdr>
        <w:top w:val="none" w:sz="0" w:space="0" w:color="auto"/>
        <w:left w:val="none" w:sz="0" w:space="0" w:color="auto"/>
        <w:bottom w:val="none" w:sz="0" w:space="0" w:color="auto"/>
        <w:right w:val="none" w:sz="0" w:space="0" w:color="auto"/>
      </w:divBdr>
    </w:div>
    <w:div w:id="1543202622">
      <w:bodyDiv w:val="1"/>
      <w:marLeft w:val="0"/>
      <w:marRight w:val="0"/>
      <w:marTop w:val="0"/>
      <w:marBottom w:val="0"/>
      <w:divBdr>
        <w:top w:val="none" w:sz="0" w:space="0" w:color="auto"/>
        <w:left w:val="none" w:sz="0" w:space="0" w:color="auto"/>
        <w:bottom w:val="none" w:sz="0" w:space="0" w:color="auto"/>
        <w:right w:val="none" w:sz="0" w:space="0" w:color="auto"/>
      </w:divBdr>
      <w:divsChild>
        <w:div w:id="1269580473">
          <w:marLeft w:val="432"/>
          <w:marRight w:val="0"/>
          <w:marTop w:val="0"/>
          <w:marBottom w:val="0"/>
          <w:divBdr>
            <w:top w:val="none" w:sz="0" w:space="0" w:color="auto"/>
            <w:left w:val="none" w:sz="0" w:space="0" w:color="auto"/>
            <w:bottom w:val="none" w:sz="0" w:space="0" w:color="auto"/>
            <w:right w:val="none" w:sz="0" w:space="0" w:color="auto"/>
          </w:divBdr>
        </w:div>
      </w:divsChild>
    </w:div>
    <w:div w:id="1600135821">
      <w:bodyDiv w:val="1"/>
      <w:marLeft w:val="0"/>
      <w:marRight w:val="0"/>
      <w:marTop w:val="0"/>
      <w:marBottom w:val="0"/>
      <w:divBdr>
        <w:top w:val="none" w:sz="0" w:space="0" w:color="auto"/>
        <w:left w:val="none" w:sz="0" w:space="0" w:color="auto"/>
        <w:bottom w:val="none" w:sz="0" w:space="0" w:color="auto"/>
        <w:right w:val="none" w:sz="0" w:space="0" w:color="auto"/>
      </w:divBdr>
      <w:divsChild>
        <w:div w:id="1807508926">
          <w:marLeft w:val="432"/>
          <w:marRight w:val="0"/>
          <w:marTop w:val="0"/>
          <w:marBottom w:val="0"/>
          <w:divBdr>
            <w:top w:val="none" w:sz="0" w:space="0" w:color="auto"/>
            <w:left w:val="none" w:sz="0" w:space="0" w:color="auto"/>
            <w:bottom w:val="none" w:sz="0" w:space="0" w:color="auto"/>
            <w:right w:val="none" w:sz="0" w:space="0" w:color="auto"/>
          </w:divBdr>
        </w:div>
      </w:divsChild>
    </w:div>
    <w:div w:id="1606571380">
      <w:bodyDiv w:val="1"/>
      <w:marLeft w:val="0"/>
      <w:marRight w:val="0"/>
      <w:marTop w:val="0"/>
      <w:marBottom w:val="0"/>
      <w:divBdr>
        <w:top w:val="none" w:sz="0" w:space="0" w:color="auto"/>
        <w:left w:val="none" w:sz="0" w:space="0" w:color="auto"/>
        <w:bottom w:val="none" w:sz="0" w:space="0" w:color="auto"/>
        <w:right w:val="none" w:sz="0" w:space="0" w:color="auto"/>
      </w:divBdr>
    </w:div>
    <w:div w:id="1609464013">
      <w:bodyDiv w:val="1"/>
      <w:marLeft w:val="0"/>
      <w:marRight w:val="0"/>
      <w:marTop w:val="0"/>
      <w:marBottom w:val="0"/>
      <w:divBdr>
        <w:top w:val="none" w:sz="0" w:space="0" w:color="auto"/>
        <w:left w:val="none" w:sz="0" w:space="0" w:color="auto"/>
        <w:bottom w:val="none" w:sz="0" w:space="0" w:color="auto"/>
        <w:right w:val="none" w:sz="0" w:space="0" w:color="auto"/>
      </w:divBdr>
    </w:div>
    <w:div w:id="1627271447">
      <w:bodyDiv w:val="1"/>
      <w:marLeft w:val="0"/>
      <w:marRight w:val="0"/>
      <w:marTop w:val="0"/>
      <w:marBottom w:val="0"/>
      <w:divBdr>
        <w:top w:val="none" w:sz="0" w:space="0" w:color="auto"/>
        <w:left w:val="none" w:sz="0" w:space="0" w:color="auto"/>
        <w:bottom w:val="none" w:sz="0" w:space="0" w:color="auto"/>
        <w:right w:val="none" w:sz="0" w:space="0" w:color="auto"/>
      </w:divBdr>
    </w:div>
    <w:div w:id="1642923562">
      <w:bodyDiv w:val="1"/>
      <w:marLeft w:val="0"/>
      <w:marRight w:val="0"/>
      <w:marTop w:val="0"/>
      <w:marBottom w:val="0"/>
      <w:divBdr>
        <w:top w:val="none" w:sz="0" w:space="0" w:color="auto"/>
        <w:left w:val="none" w:sz="0" w:space="0" w:color="auto"/>
        <w:bottom w:val="none" w:sz="0" w:space="0" w:color="auto"/>
        <w:right w:val="none" w:sz="0" w:space="0" w:color="auto"/>
      </w:divBdr>
    </w:div>
    <w:div w:id="1646273587">
      <w:bodyDiv w:val="1"/>
      <w:marLeft w:val="0"/>
      <w:marRight w:val="0"/>
      <w:marTop w:val="0"/>
      <w:marBottom w:val="0"/>
      <w:divBdr>
        <w:top w:val="none" w:sz="0" w:space="0" w:color="auto"/>
        <w:left w:val="none" w:sz="0" w:space="0" w:color="auto"/>
        <w:bottom w:val="none" w:sz="0" w:space="0" w:color="auto"/>
        <w:right w:val="none" w:sz="0" w:space="0" w:color="auto"/>
      </w:divBdr>
    </w:div>
    <w:div w:id="1646474490">
      <w:bodyDiv w:val="1"/>
      <w:marLeft w:val="0"/>
      <w:marRight w:val="0"/>
      <w:marTop w:val="0"/>
      <w:marBottom w:val="0"/>
      <w:divBdr>
        <w:top w:val="none" w:sz="0" w:space="0" w:color="auto"/>
        <w:left w:val="none" w:sz="0" w:space="0" w:color="auto"/>
        <w:bottom w:val="none" w:sz="0" w:space="0" w:color="auto"/>
        <w:right w:val="none" w:sz="0" w:space="0" w:color="auto"/>
      </w:divBdr>
    </w:div>
    <w:div w:id="1699349081">
      <w:bodyDiv w:val="1"/>
      <w:marLeft w:val="0"/>
      <w:marRight w:val="0"/>
      <w:marTop w:val="0"/>
      <w:marBottom w:val="0"/>
      <w:divBdr>
        <w:top w:val="none" w:sz="0" w:space="0" w:color="auto"/>
        <w:left w:val="none" w:sz="0" w:space="0" w:color="auto"/>
        <w:bottom w:val="none" w:sz="0" w:space="0" w:color="auto"/>
        <w:right w:val="none" w:sz="0" w:space="0" w:color="auto"/>
      </w:divBdr>
    </w:div>
    <w:div w:id="1723670724">
      <w:bodyDiv w:val="1"/>
      <w:marLeft w:val="0"/>
      <w:marRight w:val="0"/>
      <w:marTop w:val="0"/>
      <w:marBottom w:val="0"/>
      <w:divBdr>
        <w:top w:val="none" w:sz="0" w:space="0" w:color="auto"/>
        <w:left w:val="none" w:sz="0" w:space="0" w:color="auto"/>
        <w:bottom w:val="none" w:sz="0" w:space="0" w:color="auto"/>
        <w:right w:val="none" w:sz="0" w:space="0" w:color="auto"/>
      </w:divBdr>
    </w:div>
    <w:div w:id="1727953237">
      <w:bodyDiv w:val="1"/>
      <w:marLeft w:val="0"/>
      <w:marRight w:val="0"/>
      <w:marTop w:val="0"/>
      <w:marBottom w:val="0"/>
      <w:divBdr>
        <w:top w:val="none" w:sz="0" w:space="0" w:color="auto"/>
        <w:left w:val="none" w:sz="0" w:space="0" w:color="auto"/>
        <w:bottom w:val="none" w:sz="0" w:space="0" w:color="auto"/>
        <w:right w:val="none" w:sz="0" w:space="0" w:color="auto"/>
      </w:divBdr>
    </w:div>
    <w:div w:id="1735161445">
      <w:bodyDiv w:val="1"/>
      <w:marLeft w:val="0"/>
      <w:marRight w:val="0"/>
      <w:marTop w:val="0"/>
      <w:marBottom w:val="0"/>
      <w:divBdr>
        <w:top w:val="none" w:sz="0" w:space="0" w:color="auto"/>
        <w:left w:val="none" w:sz="0" w:space="0" w:color="auto"/>
        <w:bottom w:val="none" w:sz="0" w:space="0" w:color="auto"/>
        <w:right w:val="none" w:sz="0" w:space="0" w:color="auto"/>
      </w:divBdr>
    </w:div>
    <w:div w:id="1785927435">
      <w:bodyDiv w:val="1"/>
      <w:marLeft w:val="0"/>
      <w:marRight w:val="0"/>
      <w:marTop w:val="0"/>
      <w:marBottom w:val="0"/>
      <w:divBdr>
        <w:top w:val="none" w:sz="0" w:space="0" w:color="auto"/>
        <w:left w:val="none" w:sz="0" w:space="0" w:color="auto"/>
        <w:bottom w:val="none" w:sz="0" w:space="0" w:color="auto"/>
        <w:right w:val="none" w:sz="0" w:space="0" w:color="auto"/>
      </w:divBdr>
    </w:div>
    <w:div w:id="1791437411">
      <w:bodyDiv w:val="1"/>
      <w:marLeft w:val="0"/>
      <w:marRight w:val="0"/>
      <w:marTop w:val="0"/>
      <w:marBottom w:val="0"/>
      <w:divBdr>
        <w:top w:val="none" w:sz="0" w:space="0" w:color="auto"/>
        <w:left w:val="none" w:sz="0" w:space="0" w:color="auto"/>
        <w:bottom w:val="none" w:sz="0" w:space="0" w:color="auto"/>
        <w:right w:val="none" w:sz="0" w:space="0" w:color="auto"/>
      </w:divBdr>
    </w:div>
    <w:div w:id="1794133448">
      <w:bodyDiv w:val="1"/>
      <w:marLeft w:val="0"/>
      <w:marRight w:val="0"/>
      <w:marTop w:val="0"/>
      <w:marBottom w:val="0"/>
      <w:divBdr>
        <w:top w:val="none" w:sz="0" w:space="0" w:color="auto"/>
        <w:left w:val="none" w:sz="0" w:space="0" w:color="auto"/>
        <w:bottom w:val="none" w:sz="0" w:space="0" w:color="auto"/>
        <w:right w:val="none" w:sz="0" w:space="0" w:color="auto"/>
      </w:divBdr>
      <w:divsChild>
        <w:div w:id="1591037840">
          <w:marLeft w:val="432"/>
          <w:marRight w:val="0"/>
          <w:marTop w:val="0"/>
          <w:marBottom w:val="0"/>
          <w:divBdr>
            <w:top w:val="none" w:sz="0" w:space="0" w:color="auto"/>
            <w:left w:val="none" w:sz="0" w:space="0" w:color="auto"/>
            <w:bottom w:val="none" w:sz="0" w:space="0" w:color="auto"/>
            <w:right w:val="none" w:sz="0" w:space="0" w:color="auto"/>
          </w:divBdr>
        </w:div>
      </w:divsChild>
    </w:div>
    <w:div w:id="1805082364">
      <w:bodyDiv w:val="1"/>
      <w:marLeft w:val="0"/>
      <w:marRight w:val="0"/>
      <w:marTop w:val="0"/>
      <w:marBottom w:val="0"/>
      <w:divBdr>
        <w:top w:val="none" w:sz="0" w:space="0" w:color="auto"/>
        <w:left w:val="none" w:sz="0" w:space="0" w:color="auto"/>
        <w:bottom w:val="none" w:sz="0" w:space="0" w:color="auto"/>
        <w:right w:val="none" w:sz="0" w:space="0" w:color="auto"/>
      </w:divBdr>
      <w:divsChild>
        <w:div w:id="1785690166">
          <w:marLeft w:val="432"/>
          <w:marRight w:val="0"/>
          <w:marTop w:val="0"/>
          <w:marBottom w:val="0"/>
          <w:divBdr>
            <w:top w:val="none" w:sz="0" w:space="0" w:color="auto"/>
            <w:left w:val="none" w:sz="0" w:space="0" w:color="auto"/>
            <w:bottom w:val="none" w:sz="0" w:space="0" w:color="auto"/>
            <w:right w:val="none" w:sz="0" w:space="0" w:color="auto"/>
          </w:divBdr>
        </w:div>
      </w:divsChild>
    </w:div>
    <w:div w:id="1870677722">
      <w:bodyDiv w:val="1"/>
      <w:marLeft w:val="0"/>
      <w:marRight w:val="0"/>
      <w:marTop w:val="0"/>
      <w:marBottom w:val="0"/>
      <w:divBdr>
        <w:top w:val="none" w:sz="0" w:space="0" w:color="auto"/>
        <w:left w:val="none" w:sz="0" w:space="0" w:color="auto"/>
        <w:bottom w:val="none" w:sz="0" w:space="0" w:color="auto"/>
        <w:right w:val="none" w:sz="0" w:space="0" w:color="auto"/>
      </w:divBdr>
    </w:div>
    <w:div w:id="1940945870">
      <w:bodyDiv w:val="1"/>
      <w:marLeft w:val="0"/>
      <w:marRight w:val="0"/>
      <w:marTop w:val="0"/>
      <w:marBottom w:val="0"/>
      <w:divBdr>
        <w:top w:val="none" w:sz="0" w:space="0" w:color="auto"/>
        <w:left w:val="none" w:sz="0" w:space="0" w:color="auto"/>
        <w:bottom w:val="none" w:sz="0" w:space="0" w:color="auto"/>
        <w:right w:val="none" w:sz="0" w:space="0" w:color="auto"/>
      </w:divBdr>
    </w:div>
    <w:div w:id="1970699657">
      <w:bodyDiv w:val="1"/>
      <w:marLeft w:val="0"/>
      <w:marRight w:val="0"/>
      <w:marTop w:val="0"/>
      <w:marBottom w:val="0"/>
      <w:divBdr>
        <w:top w:val="none" w:sz="0" w:space="0" w:color="auto"/>
        <w:left w:val="none" w:sz="0" w:space="0" w:color="auto"/>
        <w:bottom w:val="none" w:sz="0" w:space="0" w:color="auto"/>
        <w:right w:val="none" w:sz="0" w:space="0" w:color="auto"/>
      </w:divBdr>
    </w:div>
    <w:div w:id="1992708439">
      <w:bodyDiv w:val="1"/>
      <w:marLeft w:val="0"/>
      <w:marRight w:val="0"/>
      <w:marTop w:val="0"/>
      <w:marBottom w:val="0"/>
      <w:divBdr>
        <w:top w:val="none" w:sz="0" w:space="0" w:color="auto"/>
        <w:left w:val="none" w:sz="0" w:space="0" w:color="auto"/>
        <w:bottom w:val="none" w:sz="0" w:space="0" w:color="auto"/>
        <w:right w:val="none" w:sz="0" w:space="0" w:color="auto"/>
      </w:divBdr>
      <w:divsChild>
        <w:div w:id="1428961394">
          <w:marLeft w:val="432"/>
          <w:marRight w:val="0"/>
          <w:marTop w:val="0"/>
          <w:marBottom w:val="0"/>
          <w:divBdr>
            <w:top w:val="none" w:sz="0" w:space="0" w:color="auto"/>
            <w:left w:val="none" w:sz="0" w:space="0" w:color="auto"/>
            <w:bottom w:val="none" w:sz="0" w:space="0" w:color="auto"/>
            <w:right w:val="none" w:sz="0" w:space="0" w:color="auto"/>
          </w:divBdr>
        </w:div>
      </w:divsChild>
    </w:div>
    <w:div w:id="2045783415">
      <w:bodyDiv w:val="1"/>
      <w:marLeft w:val="0"/>
      <w:marRight w:val="0"/>
      <w:marTop w:val="0"/>
      <w:marBottom w:val="0"/>
      <w:divBdr>
        <w:top w:val="none" w:sz="0" w:space="0" w:color="auto"/>
        <w:left w:val="none" w:sz="0" w:space="0" w:color="auto"/>
        <w:bottom w:val="none" w:sz="0" w:space="0" w:color="auto"/>
        <w:right w:val="none" w:sz="0" w:space="0" w:color="auto"/>
      </w:divBdr>
    </w:div>
    <w:div w:id="2136827276">
      <w:bodyDiv w:val="1"/>
      <w:marLeft w:val="0"/>
      <w:marRight w:val="0"/>
      <w:marTop w:val="0"/>
      <w:marBottom w:val="0"/>
      <w:divBdr>
        <w:top w:val="none" w:sz="0" w:space="0" w:color="auto"/>
        <w:left w:val="none" w:sz="0" w:space="0" w:color="auto"/>
        <w:bottom w:val="none" w:sz="0" w:space="0" w:color="auto"/>
        <w:right w:val="none" w:sz="0" w:space="0" w:color="auto"/>
      </w:divBdr>
    </w:div>
    <w:div w:id="21427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theme" Target="theme/theme1.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chart" Target="charts/chart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main.minfin.ru\minfin\DiskL\15\Working\Presentations\MinFin_Presentations\Plots\&#1050;&#1086;&#1087;&#1080;&#1103;%20&#1048;&#1085;&#1090;&#1077;&#1088;&#1074;&#1077;&#1085;&#1094;&#1080;&#1080;&#1051;&#1080;&#1082;&#1074;&#1080;&#1076;&#1085;&#1086;&#1089;&#1090;&#1100;&#1041;&#1055;_171119%20(4).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D:\OneDrive\XLS\WEO_WDI\WEOApr2018all.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OneDrive\Oil_my\_Balances\Balance_July2018.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OneDrive\Oil_my\&#1054;&#1055;&#1045;&#1050;_&#1087;&#1083;&#1102;&#1089;_&#1103;&#1085;&#1074;18.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VTBC_OfficeComp\Research\Economy&amp;strategy\Main\Russia_presentations\&#1050;&#1085;&#1080;&#1075;&#1072;1.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main.minfin.ru\minfin\DiskL\15\Working\Macro\&#1040;&#1088;&#1080;&#1082;\monitor.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main.minfin.ru\minfin\DiskL\15\Working\Presentations\MinFin_Presentations\Plots\&#1050;&#1086;&#1087;&#1080;&#1103;%20&#1048;&#1085;&#1090;&#1077;&#1088;&#1074;&#1077;&#1085;&#1094;&#1080;&#1080;&#1051;&#1080;&#1082;&#1074;&#1080;&#1076;&#1085;&#1086;&#1089;&#1090;&#1100;&#1041;&#1055;_171119%20(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MinFin\OneDrive\&#1058;&#1077;&#1082;&#1091;&#1097;&#1077;&#1077;\Fiscal_BreakEven\170701-Fiscal_breakeve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main.minfin.ru\minfin\DiskL\15\Working\BudgetProcess\2018_2020\3.%20&#1054;&#1053;&#1041;&#1053;&#1080;&#1058;&#1058;&#1055;\&#1053;&#1044;&#1057;%20&#1080;%20&#1040;&#1083;&#1082;&#1086;&#1075;&#1086;&#1083;&#1100;.xlsx" TargetMode="External"/></Relationships>
</file>

<file path=word/charts/_rels/chart6.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0374\Downloads\&#1056;&#1072;&#1089;&#1095;&#1077;&#1090;.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_____Microsoft_Excel2.xlsx"/></Relationships>
</file>

<file path=word/charts/_rels/chart9.xml.rels><?xml version="1.0" encoding="UTF-8" standalone="yes"?>
<Relationships xmlns="http://schemas.openxmlformats.org/package/2006/relationships"><Relationship Id="rId1" Type="http://schemas.openxmlformats.org/officeDocument/2006/relationships/oleObject" Target="file:///D:\OneDrive\XLS\180705-&#1073;&#1072;&#1083;&#1072;&#1085;&#1089;&#1099;-&#1094;&#1077;&#1085;&#1090;&#1088;&#1086;&#1073;&#1072;&#1085;&#1082;&#1086;&#1074;-&#1082;-&#1074;&#1074;&#108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48265330470055"/>
          <c:y val="5.5601851851851854E-2"/>
          <c:w val="0.80187767438161139"/>
          <c:h val="0.8455383482968688"/>
        </c:manualLayout>
      </c:layout>
      <c:barChart>
        <c:barDir val="col"/>
        <c:grouping val="stacked"/>
        <c:varyColors val="0"/>
        <c:ser>
          <c:idx val="0"/>
          <c:order val="0"/>
          <c:tx>
            <c:strRef>
              <c:f>Sheet2!$C$2</c:f>
              <c:strCache>
                <c:ptCount val="1"/>
                <c:pt idx="0">
                  <c:v>Base</c:v>
                </c:pt>
              </c:strCache>
            </c:strRef>
          </c:tx>
          <c:spPr>
            <a:solidFill>
              <a:srgbClr val="006600"/>
            </a:solidFill>
          </c:spPr>
          <c:invertIfNegative val="0"/>
          <c:dPt>
            <c:idx val="0"/>
            <c:invertIfNegative val="0"/>
            <c:bubble3D val="0"/>
            <c:extLst xmlns:c16r2="http://schemas.microsoft.com/office/drawing/2015/06/chart">
              <c:ext xmlns:c16="http://schemas.microsoft.com/office/drawing/2014/chart" uri="{C3380CC4-5D6E-409C-BE32-E72D297353CC}">
                <c16:uniqueId val="{00000000-3D70-42BF-B177-BD6774E1D458}"/>
              </c:ext>
            </c:extLst>
          </c:dPt>
          <c:dPt>
            <c:idx val="1"/>
            <c:invertIfNegative val="0"/>
            <c:bubble3D val="0"/>
            <c:extLst xmlns:c16r2="http://schemas.microsoft.com/office/drawing/2015/06/chart">
              <c:ext xmlns:c16="http://schemas.microsoft.com/office/drawing/2014/chart" uri="{C3380CC4-5D6E-409C-BE32-E72D297353CC}">
                <c16:uniqueId val="{00000001-3D70-42BF-B177-BD6774E1D458}"/>
              </c:ext>
            </c:extLst>
          </c:dPt>
          <c:dPt>
            <c:idx val="2"/>
            <c:invertIfNegative val="0"/>
            <c:bubble3D val="0"/>
            <c:spPr>
              <a:solidFill>
                <a:srgbClr val="006600"/>
              </a:solidFill>
            </c:spPr>
            <c:extLst xmlns:c16r2="http://schemas.microsoft.com/office/drawing/2015/06/chart">
              <c:ext xmlns:c16="http://schemas.microsoft.com/office/drawing/2014/chart" uri="{C3380CC4-5D6E-409C-BE32-E72D297353CC}">
                <c16:uniqueId val="{00000003-3D70-42BF-B177-BD6774E1D458}"/>
              </c:ext>
            </c:extLst>
          </c:dPt>
          <c:dPt>
            <c:idx val="3"/>
            <c:invertIfNegative val="0"/>
            <c:bubble3D val="0"/>
            <c:spPr>
              <a:solidFill>
                <a:srgbClr val="006600"/>
              </a:solidFill>
            </c:spPr>
            <c:extLst xmlns:c16r2="http://schemas.microsoft.com/office/drawing/2015/06/chart">
              <c:ext xmlns:c16="http://schemas.microsoft.com/office/drawing/2014/chart" uri="{C3380CC4-5D6E-409C-BE32-E72D297353CC}">
                <c16:uniqueId val="{00000005-3D70-42BF-B177-BD6774E1D458}"/>
              </c:ext>
            </c:extLst>
          </c:dPt>
          <c:dPt>
            <c:idx val="5"/>
            <c:invertIfNegative val="0"/>
            <c:bubble3D val="0"/>
            <c:spPr>
              <a:solidFill>
                <a:srgbClr val="006600"/>
              </a:solidFill>
            </c:spPr>
            <c:extLst xmlns:c16r2="http://schemas.microsoft.com/office/drawing/2015/06/chart">
              <c:ext xmlns:c16="http://schemas.microsoft.com/office/drawing/2014/chart" uri="{C3380CC4-5D6E-409C-BE32-E72D297353CC}">
                <c16:uniqueId val="{00000007-3D70-42BF-B177-BD6774E1D458}"/>
              </c:ext>
            </c:extLst>
          </c:dPt>
          <c:dPt>
            <c:idx val="6"/>
            <c:invertIfNegative val="0"/>
            <c:bubble3D val="0"/>
            <c:spPr>
              <a:solidFill>
                <a:srgbClr val="006600"/>
              </a:solidFill>
            </c:spPr>
            <c:extLst xmlns:c16r2="http://schemas.microsoft.com/office/drawing/2015/06/chart">
              <c:ext xmlns:c16="http://schemas.microsoft.com/office/drawing/2014/chart" uri="{C3380CC4-5D6E-409C-BE32-E72D297353CC}">
                <c16:uniqueId val="{00000009-3D70-42BF-B177-BD6774E1D458}"/>
              </c:ext>
            </c:extLst>
          </c:dPt>
          <c:dPt>
            <c:idx val="7"/>
            <c:invertIfNegative val="0"/>
            <c:bubble3D val="0"/>
            <c:spPr>
              <a:solidFill>
                <a:srgbClr val="006600"/>
              </a:solidFill>
            </c:spPr>
            <c:extLst xmlns:c16r2="http://schemas.microsoft.com/office/drawing/2015/06/chart">
              <c:ext xmlns:c16="http://schemas.microsoft.com/office/drawing/2014/chart" uri="{C3380CC4-5D6E-409C-BE32-E72D297353CC}">
                <c16:uniqueId val="{0000000B-3D70-42BF-B177-BD6774E1D458}"/>
              </c:ext>
            </c:extLst>
          </c:dPt>
          <c:dPt>
            <c:idx val="8"/>
            <c:invertIfNegative val="0"/>
            <c:bubble3D val="0"/>
            <c:spPr>
              <a:solidFill>
                <a:srgbClr val="006600"/>
              </a:solidFill>
            </c:spPr>
            <c:extLst xmlns:c16r2="http://schemas.microsoft.com/office/drawing/2015/06/chart">
              <c:ext xmlns:c16="http://schemas.microsoft.com/office/drawing/2014/chart" uri="{C3380CC4-5D6E-409C-BE32-E72D297353CC}">
                <c16:uniqueId val="{0000000D-3D70-42BF-B177-BD6774E1D458}"/>
              </c:ext>
            </c:extLst>
          </c:dPt>
          <c:dPt>
            <c:idx val="9"/>
            <c:invertIfNegative val="0"/>
            <c:bubble3D val="0"/>
            <c:spPr>
              <a:solidFill>
                <a:srgbClr val="006600"/>
              </a:solidFill>
            </c:spPr>
            <c:extLst xmlns:c16r2="http://schemas.microsoft.com/office/drawing/2015/06/chart">
              <c:ext xmlns:c16="http://schemas.microsoft.com/office/drawing/2014/chart" uri="{C3380CC4-5D6E-409C-BE32-E72D297353CC}">
                <c16:uniqueId val="{0000000F-3D70-42BF-B177-BD6774E1D458}"/>
              </c:ext>
            </c:extLst>
          </c:dPt>
          <c:dPt>
            <c:idx val="10"/>
            <c:invertIfNegative val="0"/>
            <c:bubble3D val="0"/>
            <c:spPr>
              <a:solidFill>
                <a:srgbClr val="006600"/>
              </a:solidFill>
            </c:spPr>
            <c:extLst xmlns:c16r2="http://schemas.microsoft.com/office/drawing/2015/06/chart">
              <c:ext xmlns:c16="http://schemas.microsoft.com/office/drawing/2014/chart" uri="{C3380CC4-5D6E-409C-BE32-E72D297353CC}">
                <c16:uniqueId val="{00000011-3D70-42BF-B177-BD6774E1D458}"/>
              </c:ext>
            </c:extLst>
          </c:dPt>
          <c:dPt>
            <c:idx val="11"/>
            <c:invertIfNegative val="0"/>
            <c:bubble3D val="0"/>
            <c:spPr>
              <a:solidFill>
                <a:srgbClr val="006600"/>
              </a:solidFill>
            </c:spPr>
            <c:extLst xmlns:c16r2="http://schemas.microsoft.com/office/drawing/2015/06/chart">
              <c:ext xmlns:c16="http://schemas.microsoft.com/office/drawing/2014/chart" uri="{C3380CC4-5D6E-409C-BE32-E72D297353CC}">
                <c16:uniqueId val="{00000013-3D70-42BF-B177-BD6774E1D458}"/>
              </c:ext>
            </c:extLst>
          </c:dPt>
          <c:dPt>
            <c:idx val="12"/>
            <c:invertIfNegative val="0"/>
            <c:bubble3D val="0"/>
            <c:spPr>
              <a:solidFill>
                <a:srgbClr val="006600"/>
              </a:solidFill>
            </c:spPr>
            <c:extLst xmlns:c16r2="http://schemas.microsoft.com/office/drawing/2015/06/chart">
              <c:ext xmlns:c16="http://schemas.microsoft.com/office/drawing/2014/chart" uri="{C3380CC4-5D6E-409C-BE32-E72D297353CC}">
                <c16:uniqueId val="{00000015-3D70-42BF-B177-BD6774E1D458}"/>
              </c:ext>
            </c:extLst>
          </c:dPt>
          <c:dPt>
            <c:idx val="13"/>
            <c:invertIfNegative val="0"/>
            <c:bubble3D val="0"/>
            <c:spPr>
              <a:solidFill>
                <a:srgbClr val="006600"/>
              </a:solidFill>
            </c:spPr>
            <c:extLst xmlns:c16r2="http://schemas.microsoft.com/office/drawing/2015/06/chart">
              <c:ext xmlns:c16="http://schemas.microsoft.com/office/drawing/2014/chart" uri="{C3380CC4-5D6E-409C-BE32-E72D297353CC}">
                <c16:uniqueId val="{00000017-3D70-42BF-B177-BD6774E1D458}"/>
              </c:ext>
            </c:extLst>
          </c:dPt>
          <c:dPt>
            <c:idx val="14"/>
            <c:invertIfNegative val="0"/>
            <c:bubble3D val="0"/>
            <c:spPr>
              <a:solidFill>
                <a:srgbClr val="006600"/>
              </a:solidFill>
            </c:spPr>
            <c:extLst xmlns:c16r2="http://schemas.microsoft.com/office/drawing/2015/06/chart">
              <c:ext xmlns:c16="http://schemas.microsoft.com/office/drawing/2014/chart" uri="{C3380CC4-5D6E-409C-BE32-E72D297353CC}">
                <c16:uniqueId val="{00000019-3D70-42BF-B177-BD6774E1D458}"/>
              </c:ext>
            </c:extLst>
          </c:dPt>
          <c:dPt>
            <c:idx val="15"/>
            <c:invertIfNegative val="0"/>
            <c:bubble3D val="0"/>
            <c:spPr>
              <a:solidFill>
                <a:srgbClr val="006600"/>
              </a:solidFill>
            </c:spPr>
            <c:extLst xmlns:c16r2="http://schemas.microsoft.com/office/drawing/2015/06/chart">
              <c:ext xmlns:c16="http://schemas.microsoft.com/office/drawing/2014/chart" uri="{C3380CC4-5D6E-409C-BE32-E72D297353CC}">
                <c16:uniqueId val="{0000001B-3D70-42BF-B177-BD6774E1D458}"/>
              </c:ext>
            </c:extLst>
          </c:dPt>
          <c:dPt>
            <c:idx val="16"/>
            <c:invertIfNegative val="0"/>
            <c:bubble3D val="0"/>
            <c:spPr>
              <a:solidFill>
                <a:srgbClr val="006600"/>
              </a:solidFill>
            </c:spPr>
            <c:extLst xmlns:c16r2="http://schemas.microsoft.com/office/drawing/2015/06/chart">
              <c:ext xmlns:c16="http://schemas.microsoft.com/office/drawing/2014/chart" uri="{C3380CC4-5D6E-409C-BE32-E72D297353CC}">
                <c16:uniqueId val="{0000001D-3D70-42BF-B177-BD6774E1D458}"/>
              </c:ext>
            </c:extLst>
          </c:dPt>
          <c:cat>
            <c:numRef>
              <c:f>Sheet2!$B$26:$B$37</c:f>
              <c:numCache>
                <c:formatCode>0.0</c:formatCode>
                <c:ptCount val="12"/>
                <c:pt idx="0">
                  <c:v>25</c:v>
                </c:pt>
                <c:pt idx="1">
                  <c:v>30</c:v>
                </c:pt>
                <c:pt idx="2">
                  <c:v>35</c:v>
                </c:pt>
                <c:pt idx="3">
                  <c:v>40</c:v>
                </c:pt>
                <c:pt idx="4">
                  <c:v>45</c:v>
                </c:pt>
                <c:pt idx="5">
                  <c:v>50</c:v>
                </c:pt>
                <c:pt idx="6">
                  <c:v>55</c:v>
                </c:pt>
                <c:pt idx="7">
                  <c:v>60</c:v>
                </c:pt>
                <c:pt idx="8">
                  <c:v>65</c:v>
                </c:pt>
                <c:pt idx="9">
                  <c:v>70</c:v>
                </c:pt>
                <c:pt idx="10">
                  <c:v>75</c:v>
                </c:pt>
                <c:pt idx="11">
                  <c:v>80</c:v>
                </c:pt>
              </c:numCache>
            </c:numRef>
          </c:cat>
          <c:val>
            <c:numRef>
              <c:f>Sheet2!$G$26:$G$37</c:f>
              <c:numCache>
                <c:formatCode>0.0</c:formatCode>
                <c:ptCount val="12"/>
                <c:pt idx="0">
                  <c:v>-2.0818875780707842</c:v>
                </c:pt>
                <c:pt idx="1">
                  <c:v>-1.3879250520471895</c:v>
                </c:pt>
                <c:pt idx="2">
                  <c:v>-0.69396252602359476</c:v>
                </c:pt>
                <c:pt idx="3">
                  <c:v>0</c:v>
                </c:pt>
                <c:pt idx="4">
                  <c:v>0.34698126301179733</c:v>
                </c:pt>
                <c:pt idx="5">
                  <c:v>0.69396252602359465</c:v>
                </c:pt>
                <c:pt idx="6">
                  <c:v>1.0409437890353921</c:v>
                </c:pt>
                <c:pt idx="7">
                  <c:v>1.3879250520471893</c:v>
                </c:pt>
                <c:pt idx="8">
                  <c:v>1.7349063150589867</c:v>
                </c:pt>
                <c:pt idx="9">
                  <c:v>2.0818875780707842</c:v>
                </c:pt>
                <c:pt idx="10">
                  <c:v>2.4288688410825814</c:v>
                </c:pt>
                <c:pt idx="11">
                  <c:v>2.7758501040943786</c:v>
                </c:pt>
              </c:numCache>
            </c:numRef>
          </c:val>
          <c:extLst xmlns:c16r2="http://schemas.microsoft.com/office/drawing/2015/06/chart">
            <c:ext xmlns:c16="http://schemas.microsoft.com/office/drawing/2014/chart" uri="{C3380CC4-5D6E-409C-BE32-E72D297353CC}">
              <c16:uniqueId val="{0000001E-3D70-42BF-B177-BD6774E1D458}"/>
            </c:ext>
          </c:extLst>
        </c:ser>
        <c:ser>
          <c:idx val="1"/>
          <c:order val="1"/>
          <c:tx>
            <c:strRef>
              <c:f>Sheet2!$D$2</c:f>
              <c:strCache>
                <c:ptCount val="1"/>
                <c:pt idx="0">
                  <c:v>Additional/</c:v>
                </c:pt>
              </c:strCache>
            </c:strRef>
          </c:tx>
          <c:spPr>
            <a:pattFill prst="wdUpDiag">
              <a:fgClr>
                <a:srgbClr val="8D8D31"/>
              </a:fgClr>
              <a:bgClr>
                <a:sysClr val="window" lastClr="FFFFFF"/>
              </a:bgClr>
            </a:pattFill>
          </c:spPr>
          <c:invertIfNegative val="0"/>
          <c:dPt>
            <c:idx val="0"/>
            <c:invertIfNegative val="0"/>
            <c:bubble3D val="0"/>
            <c:extLst xmlns:c16r2="http://schemas.microsoft.com/office/drawing/2015/06/chart">
              <c:ext xmlns:c16="http://schemas.microsoft.com/office/drawing/2014/chart" uri="{C3380CC4-5D6E-409C-BE32-E72D297353CC}">
                <c16:uniqueId val="{0000001F-3D70-42BF-B177-BD6774E1D458}"/>
              </c:ext>
            </c:extLst>
          </c:dPt>
          <c:dPt>
            <c:idx val="1"/>
            <c:invertIfNegative val="0"/>
            <c:bubble3D val="0"/>
            <c:extLst xmlns:c16r2="http://schemas.microsoft.com/office/drawing/2015/06/chart">
              <c:ext xmlns:c16="http://schemas.microsoft.com/office/drawing/2014/chart" uri="{C3380CC4-5D6E-409C-BE32-E72D297353CC}">
                <c16:uniqueId val="{00000020-3D70-42BF-B177-BD6774E1D458}"/>
              </c:ext>
            </c:extLst>
          </c:dPt>
          <c:dPt>
            <c:idx val="2"/>
            <c:invertIfNegative val="0"/>
            <c:bubble3D val="0"/>
            <c:extLst xmlns:c16r2="http://schemas.microsoft.com/office/drawing/2015/06/chart">
              <c:ext xmlns:c16="http://schemas.microsoft.com/office/drawing/2014/chart" uri="{C3380CC4-5D6E-409C-BE32-E72D297353CC}">
                <c16:uniqueId val="{00000021-3D70-42BF-B177-BD6774E1D458}"/>
              </c:ext>
            </c:extLst>
          </c:dPt>
          <c:dPt>
            <c:idx val="3"/>
            <c:invertIfNegative val="0"/>
            <c:bubble3D val="0"/>
            <c:extLst xmlns:c16r2="http://schemas.microsoft.com/office/drawing/2015/06/chart">
              <c:ext xmlns:c16="http://schemas.microsoft.com/office/drawing/2014/chart" uri="{C3380CC4-5D6E-409C-BE32-E72D297353CC}">
                <c16:uniqueId val="{00000022-3D70-42BF-B177-BD6774E1D458}"/>
              </c:ext>
            </c:extLst>
          </c:dPt>
          <c:dLbls>
            <c:dLbl>
              <c:idx val="13"/>
              <c:layout>
                <c:manualLayout>
                  <c:x val="-9.7222222222222224E-2"/>
                  <c:y val="-0.16666703120443277"/>
                </c:manualLayout>
              </c:layout>
              <c:tx>
                <c:rich>
                  <a:bodyPr/>
                  <a:lstStyle/>
                  <a:p>
                    <a:r>
                      <a:rPr lang="en-US"/>
                      <a:t>no fiscal rule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3D70-42BF-B177-BD6774E1D458}"/>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Sheet2!$B$26:$B$37</c:f>
              <c:numCache>
                <c:formatCode>0.0</c:formatCode>
                <c:ptCount val="12"/>
                <c:pt idx="0">
                  <c:v>25</c:v>
                </c:pt>
                <c:pt idx="1">
                  <c:v>30</c:v>
                </c:pt>
                <c:pt idx="2">
                  <c:v>35</c:v>
                </c:pt>
                <c:pt idx="3">
                  <c:v>40</c:v>
                </c:pt>
                <c:pt idx="4">
                  <c:v>45</c:v>
                </c:pt>
                <c:pt idx="5">
                  <c:v>50</c:v>
                </c:pt>
                <c:pt idx="6">
                  <c:v>55</c:v>
                </c:pt>
                <c:pt idx="7">
                  <c:v>60</c:v>
                </c:pt>
                <c:pt idx="8">
                  <c:v>65</c:v>
                </c:pt>
                <c:pt idx="9">
                  <c:v>70</c:v>
                </c:pt>
                <c:pt idx="10">
                  <c:v>75</c:v>
                </c:pt>
                <c:pt idx="11">
                  <c:v>80</c:v>
                </c:pt>
              </c:numCache>
            </c:numRef>
          </c:cat>
          <c:val>
            <c:numRef>
              <c:f>Sheet2!$H$26:$H$37</c:f>
              <c:numCache>
                <c:formatCode>0.0</c:formatCode>
                <c:ptCount val="12"/>
                <c:pt idx="0">
                  <c:v>-1.0409437890353921</c:v>
                </c:pt>
                <c:pt idx="1">
                  <c:v>-0.69396252602359465</c:v>
                </c:pt>
                <c:pt idx="2">
                  <c:v>-0.34698126301179733</c:v>
                </c:pt>
                <c:pt idx="3">
                  <c:v>0</c:v>
                </c:pt>
                <c:pt idx="4">
                  <c:v>0.69396252602359476</c:v>
                </c:pt>
                <c:pt idx="5">
                  <c:v>1.3879250520471895</c:v>
                </c:pt>
                <c:pt idx="6">
                  <c:v>2.0818875780707842</c:v>
                </c:pt>
                <c:pt idx="7">
                  <c:v>2.775850104094379</c:v>
                </c:pt>
                <c:pt idx="8">
                  <c:v>3.4698126301179739</c:v>
                </c:pt>
                <c:pt idx="9">
                  <c:v>4.1637751561415683</c:v>
                </c:pt>
                <c:pt idx="10">
                  <c:v>4.8577376821651637</c:v>
                </c:pt>
                <c:pt idx="11">
                  <c:v>5.5517002081887581</c:v>
                </c:pt>
              </c:numCache>
            </c:numRef>
          </c:val>
          <c:extLst xmlns:c16r2="http://schemas.microsoft.com/office/drawing/2015/06/chart">
            <c:ext xmlns:c16="http://schemas.microsoft.com/office/drawing/2014/chart" uri="{C3380CC4-5D6E-409C-BE32-E72D297353CC}">
              <c16:uniqueId val="{00000024-3D70-42BF-B177-BD6774E1D458}"/>
            </c:ext>
          </c:extLst>
        </c:ser>
        <c:dLbls>
          <c:showLegendKey val="0"/>
          <c:showVal val="0"/>
          <c:showCatName val="0"/>
          <c:showSerName val="0"/>
          <c:showPercent val="0"/>
          <c:showBubbleSize val="0"/>
        </c:dLbls>
        <c:gapWidth val="40"/>
        <c:overlap val="100"/>
        <c:axId val="90637824"/>
        <c:axId val="90815808"/>
      </c:barChart>
      <c:catAx>
        <c:axId val="90637824"/>
        <c:scaling>
          <c:orientation val="minMax"/>
        </c:scaling>
        <c:delete val="0"/>
        <c:axPos val="b"/>
        <c:title>
          <c:tx>
            <c:rich>
              <a:bodyPr/>
              <a:lstStyle/>
              <a:p>
                <a:pPr>
                  <a:defRPr b="0" i="1"/>
                </a:pPr>
                <a:r>
                  <a:rPr lang="ru-RU" b="0" i="1"/>
                  <a:t>Юралс</a:t>
                </a:r>
                <a:r>
                  <a:rPr lang="en-US" b="0" i="1"/>
                  <a:t>, $/</a:t>
                </a:r>
                <a:r>
                  <a:rPr lang="ru-RU" b="0" i="1"/>
                  <a:t>баррель</a:t>
                </a:r>
              </a:p>
            </c:rich>
          </c:tx>
          <c:layout>
            <c:manualLayout>
              <c:xMode val="edge"/>
              <c:yMode val="edge"/>
              <c:x val="0.61551515151515157"/>
              <c:y val="0.85212501573834631"/>
            </c:manualLayout>
          </c:layout>
          <c:overlay val="0"/>
        </c:title>
        <c:numFmt formatCode="0" sourceLinked="0"/>
        <c:majorTickMark val="out"/>
        <c:minorTickMark val="none"/>
        <c:tickLblPos val="low"/>
        <c:spPr>
          <a:ln w="3175">
            <a:solidFill>
              <a:sysClr val="windowText" lastClr="000000"/>
            </a:solidFill>
          </a:ln>
        </c:spPr>
        <c:txPr>
          <a:bodyPr rot="0" vert="horz"/>
          <a:lstStyle/>
          <a:p>
            <a:pPr>
              <a:defRPr/>
            </a:pPr>
            <a:endParaRPr lang="ru-RU"/>
          </a:p>
        </c:txPr>
        <c:crossAx val="90815808"/>
        <c:crosses val="autoZero"/>
        <c:auto val="1"/>
        <c:lblAlgn val="ctr"/>
        <c:lblOffset val="100"/>
        <c:noMultiLvlLbl val="0"/>
      </c:catAx>
      <c:valAx>
        <c:axId val="90815808"/>
        <c:scaling>
          <c:orientation val="minMax"/>
        </c:scaling>
        <c:delete val="0"/>
        <c:axPos val="l"/>
        <c:title>
          <c:tx>
            <c:rich>
              <a:bodyPr rot="-5400000" vert="horz"/>
              <a:lstStyle/>
              <a:p>
                <a:pPr>
                  <a:defRPr b="0" i="1"/>
                </a:pPr>
                <a:r>
                  <a:rPr lang="ru-RU" b="0" i="1"/>
                  <a:t>отклонение тек. счета, % ВВП</a:t>
                </a:r>
                <a:endParaRPr lang="en-US" b="0" i="1"/>
              </a:p>
            </c:rich>
          </c:tx>
          <c:layout>
            <c:manualLayout>
              <c:xMode val="edge"/>
              <c:yMode val="edge"/>
              <c:x val="0"/>
              <c:y val="1.3245392296442646E-2"/>
            </c:manualLayout>
          </c:layout>
          <c:overlay val="0"/>
        </c:title>
        <c:numFmt formatCode="#\ ##0.0" sourceLinked="0"/>
        <c:majorTickMark val="out"/>
        <c:minorTickMark val="none"/>
        <c:tickLblPos val="nextTo"/>
        <c:spPr>
          <a:ln w="3175">
            <a:solidFill>
              <a:sysClr val="windowText" lastClr="000000"/>
            </a:solidFill>
          </a:ln>
        </c:spPr>
        <c:crossAx val="90637824"/>
        <c:crosses val="autoZero"/>
        <c:crossBetween val="between"/>
      </c:valAx>
      <c:spPr>
        <a:noFill/>
      </c:spPr>
    </c:plotArea>
    <c:plotVisOnly val="1"/>
    <c:dispBlanksAs val="gap"/>
    <c:showDLblsOverMax val="0"/>
  </c:chart>
  <c:spPr>
    <a:noFill/>
    <a:ln w="9525">
      <a:noFill/>
    </a:ln>
  </c:spPr>
  <c:txPr>
    <a:bodyPr/>
    <a:lstStyle/>
    <a:p>
      <a:pPr>
        <a:defRPr sz="1000" strike="noStrike">
          <a:latin typeface="Century" panose="02040604050505020304" pitchFamily="18" charset="0"/>
        </a:defRPr>
      </a:pPr>
      <a:endParaRPr lang="ru-RU"/>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63272387561724"/>
          <c:y val="5.6461538461538459E-2"/>
          <c:w val="0.8470791405311624"/>
          <c:h val="0.75007224096987879"/>
        </c:manualLayout>
      </c:layout>
      <c:lineChart>
        <c:grouping val="standard"/>
        <c:varyColors val="0"/>
        <c:ser>
          <c:idx val="0"/>
          <c:order val="0"/>
          <c:tx>
            <c:strRef>
              <c:f>Gap!$AK$9</c:f>
              <c:strCache>
                <c:ptCount val="1"/>
                <c:pt idx="0">
                  <c:v>США</c:v>
                </c:pt>
              </c:strCache>
            </c:strRef>
          </c:tx>
          <c:spPr>
            <a:ln w="12700">
              <a:solidFill>
                <a:srgbClr val="005000"/>
              </a:solidFill>
            </a:ln>
          </c:spPr>
          <c:marker>
            <c:symbol val="none"/>
          </c:marker>
          <c:cat>
            <c:numRef>
              <c:f>Gap!$AJ$1:$AV$1</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Gap!$AJ$2:$AV$2</c:f>
              <c:numCache>
                <c:formatCode>General</c:formatCode>
                <c:ptCount val="13"/>
                <c:pt idx="0">
                  <c:v>2.9430000000000001</c:v>
                </c:pt>
                <c:pt idx="1">
                  <c:v>2.488</c:v>
                </c:pt>
                <c:pt idx="2">
                  <c:v>-2.8000000000000001E-2</c:v>
                </c:pt>
                <c:pt idx="3">
                  <c:v>-4.649</c:v>
                </c:pt>
                <c:pt idx="4">
                  <c:v>-3.395</c:v>
                </c:pt>
                <c:pt idx="5">
                  <c:v>-3.0550000000000002</c:v>
                </c:pt>
                <c:pt idx="6">
                  <c:v>-2.1669999999999998</c:v>
                </c:pt>
                <c:pt idx="7">
                  <c:v>-1.9179999999999999</c:v>
                </c:pt>
                <c:pt idx="8">
                  <c:v>-1.0960000000000001</c:v>
                </c:pt>
                <c:pt idx="9">
                  <c:v>8.9999999999999993E-3</c:v>
                </c:pt>
                <c:pt idx="10">
                  <c:v>-0.16900000000000001</c:v>
                </c:pt>
                <c:pt idx="11">
                  <c:v>0.28599999999999998</c:v>
                </c:pt>
                <c:pt idx="12">
                  <c:v>1.1970000000000001</c:v>
                </c:pt>
              </c:numCache>
            </c:numRef>
          </c:val>
          <c:smooth val="0"/>
          <c:extLst xmlns:c16r2="http://schemas.microsoft.com/office/drawing/2015/06/chart">
            <c:ext xmlns:c16="http://schemas.microsoft.com/office/drawing/2014/chart" uri="{C3380CC4-5D6E-409C-BE32-E72D297353CC}">
              <c16:uniqueId val="{00000000-35B4-4559-A23C-EC06AAE331C1}"/>
            </c:ext>
          </c:extLst>
        </c:ser>
        <c:ser>
          <c:idx val="1"/>
          <c:order val="1"/>
          <c:tx>
            <c:strRef>
              <c:f>Gap!$AK$10</c:f>
              <c:strCache>
                <c:ptCount val="1"/>
                <c:pt idx="0">
                  <c:v>Великобритания</c:v>
                </c:pt>
              </c:strCache>
            </c:strRef>
          </c:tx>
          <c:spPr>
            <a:ln w="12700">
              <a:solidFill>
                <a:schemeClr val="bg1">
                  <a:lumMod val="50000"/>
                </a:schemeClr>
              </a:solidFill>
              <a:prstDash val="sysDash"/>
            </a:ln>
          </c:spPr>
          <c:marker>
            <c:symbol val="none"/>
          </c:marker>
          <c:cat>
            <c:numRef>
              <c:f>Gap!$AJ$1:$AV$1</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Gap!$AJ$3:$AV$3</c:f>
              <c:numCache>
                <c:formatCode>General</c:formatCode>
                <c:ptCount val="13"/>
                <c:pt idx="0">
                  <c:v>2.6869999999999998</c:v>
                </c:pt>
                <c:pt idx="1">
                  <c:v>3.7080000000000002</c:v>
                </c:pt>
                <c:pt idx="2">
                  <c:v>2.1509999999999998</c:v>
                </c:pt>
                <c:pt idx="3">
                  <c:v>-3.0089999999999999</c:v>
                </c:pt>
                <c:pt idx="4">
                  <c:v>-2.3719999999999999</c:v>
                </c:pt>
                <c:pt idx="5">
                  <c:v>-2.1749999999999998</c:v>
                </c:pt>
                <c:pt idx="6">
                  <c:v>-2.2320000000000002</c:v>
                </c:pt>
                <c:pt idx="7">
                  <c:v>-1.9810000000000001</c:v>
                </c:pt>
                <c:pt idx="8">
                  <c:v>-0.83399999999999996</c:v>
                </c:pt>
                <c:pt idx="9">
                  <c:v>-0.34699999999999998</c:v>
                </c:pt>
                <c:pt idx="10">
                  <c:v>-0.16900000000000001</c:v>
                </c:pt>
                <c:pt idx="11">
                  <c:v>-0.05</c:v>
                </c:pt>
                <c:pt idx="12">
                  <c:v>-2.4E-2</c:v>
                </c:pt>
              </c:numCache>
            </c:numRef>
          </c:val>
          <c:smooth val="0"/>
          <c:extLst xmlns:c16r2="http://schemas.microsoft.com/office/drawing/2015/06/chart">
            <c:ext xmlns:c16="http://schemas.microsoft.com/office/drawing/2014/chart" uri="{C3380CC4-5D6E-409C-BE32-E72D297353CC}">
              <c16:uniqueId val="{00000001-35B4-4559-A23C-EC06AAE331C1}"/>
            </c:ext>
          </c:extLst>
        </c:ser>
        <c:ser>
          <c:idx val="2"/>
          <c:order val="2"/>
          <c:tx>
            <c:strRef>
              <c:f>Gap!$AK$11</c:f>
              <c:strCache>
                <c:ptCount val="1"/>
                <c:pt idx="0">
                  <c:v>Япония</c:v>
                </c:pt>
              </c:strCache>
            </c:strRef>
          </c:tx>
          <c:spPr>
            <a:ln w="12700">
              <a:solidFill>
                <a:srgbClr val="948A4A"/>
              </a:solidFill>
            </a:ln>
          </c:spPr>
          <c:marker>
            <c:symbol val="none"/>
          </c:marker>
          <c:cat>
            <c:numRef>
              <c:f>Gap!$AJ$1:$AV$1</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Gap!$AJ$4:$AV$4</c:f>
              <c:numCache>
                <c:formatCode>General</c:formatCode>
                <c:ptCount val="13"/>
                <c:pt idx="0">
                  <c:v>8.0000000000000002E-3</c:v>
                </c:pt>
                <c:pt idx="1">
                  <c:v>0.49099999999999999</c:v>
                </c:pt>
                <c:pt idx="2">
                  <c:v>-1.397</c:v>
                </c:pt>
                <c:pt idx="3">
                  <c:v>-7.2949999999999999</c:v>
                </c:pt>
                <c:pt idx="4">
                  <c:v>-3.9689999999999999</c:v>
                </c:pt>
                <c:pt idx="5">
                  <c:v>-4.641</c:v>
                </c:pt>
                <c:pt idx="6">
                  <c:v>-3.7050000000000001</c:v>
                </c:pt>
                <c:pt idx="7">
                  <c:v>-2.2509999999999999</c:v>
                </c:pt>
                <c:pt idx="8">
                  <c:v>-2.58</c:v>
                </c:pt>
                <c:pt idx="9">
                  <c:v>-1.974</c:v>
                </c:pt>
                <c:pt idx="10">
                  <c:v>-1.8280000000000001</c:v>
                </c:pt>
                <c:pt idx="11">
                  <c:v>-0.80400000000000005</c:v>
                </c:pt>
                <c:pt idx="12">
                  <c:v>-0.23400000000000001</c:v>
                </c:pt>
              </c:numCache>
            </c:numRef>
          </c:val>
          <c:smooth val="0"/>
          <c:extLst xmlns:c16r2="http://schemas.microsoft.com/office/drawing/2015/06/chart">
            <c:ext xmlns:c16="http://schemas.microsoft.com/office/drawing/2014/chart" uri="{C3380CC4-5D6E-409C-BE32-E72D297353CC}">
              <c16:uniqueId val="{00000002-35B4-4559-A23C-EC06AAE331C1}"/>
            </c:ext>
          </c:extLst>
        </c:ser>
        <c:ser>
          <c:idx val="3"/>
          <c:order val="3"/>
          <c:tx>
            <c:strRef>
              <c:f>Gap!$AK$12</c:f>
              <c:strCache>
                <c:ptCount val="1"/>
                <c:pt idx="0">
                  <c:v>Еврозона</c:v>
                </c:pt>
              </c:strCache>
            </c:strRef>
          </c:tx>
          <c:spPr>
            <a:ln w="12700">
              <a:solidFill>
                <a:srgbClr val="00B050"/>
              </a:solidFill>
            </a:ln>
          </c:spPr>
          <c:marker>
            <c:symbol val="none"/>
          </c:marker>
          <c:cat>
            <c:numRef>
              <c:f>Gap!$AJ$1:$AV$1</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Gap!$AJ$5:$AV$5</c:f>
              <c:numCache>
                <c:formatCode>General</c:formatCode>
                <c:ptCount val="13"/>
                <c:pt idx="0">
                  <c:v>3.1280000000000001</c:v>
                </c:pt>
                <c:pt idx="1">
                  <c:v>2.5289999999999999</c:v>
                </c:pt>
                <c:pt idx="2">
                  <c:v>-2.5630000000000002</c:v>
                </c:pt>
                <c:pt idx="3">
                  <c:v>-1.325</c:v>
                </c:pt>
                <c:pt idx="4">
                  <c:v>-0.52</c:v>
                </c:pt>
                <c:pt idx="5">
                  <c:v>-1.968</c:v>
                </c:pt>
                <c:pt idx="6">
                  <c:v>-2.7970000000000002</c:v>
                </c:pt>
                <c:pt idx="7">
                  <c:v>-2.4670000000000001</c:v>
                </c:pt>
                <c:pt idx="8">
                  <c:v>-1.925</c:v>
                </c:pt>
                <c:pt idx="9">
                  <c:v>-1.4359999999999999</c:v>
                </c:pt>
                <c:pt idx="10">
                  <c:v>-0.54</c:v>
                </c:pt>
                <c:pt idx="11">
                  <c:v>0.26300000000000001</c:v>
                </c:pt>
                <c:pt idx="12">
                  <c:v>0.62</c:v>
                </c:pt>
              </c:numCache>
            </c:numRef>
          </c:val>
          <c:smooth val="0"/>
          <c:extLst xmlns:c16r2="http://schemas.microsoft.com/office/drawing/2015/06/chart">
            <c:ext xmlns:c16="http://schemas.microsoft.com/office/drawing/2014/chart" uri="{C3380CC4-5D6E-409C-BE32-E72D297353CC}">
              <c16:uniqueId val="{00000003-35B4-4559-A23C-EC06AAE331C1}"/>
            </c:ext>
          </c:extLst>
        </c:ser>
        <c:dLbls>
          <c:showLegendKey val="0"/>
          <c:showVal val="0"/>
          <c:showCatName val="0"/>
          <c:showSerName val="0"/>
          <c:showPercent val="0"/>
          <c:showBubbleSize val="0"/>
        </c:dLbls>
        <c:marker val="1"/>
        <c:smooth val="0"/>
        <c:axId val="40888320"/>
        <c:axId val="225351296"/>
      </c:lineChart>
      <c:catAx>
        <c:axId val="40888320"/>
        <c:scaling>
          <c:orientation val="minMax"/>
        </c:scaling>
        <c:delete val="0"/>
        <c:axPos val="b"/>
        <c:numFmt formatCode="General" sourceLinked="1"/>
        <c:majorTickMark val="out"/>
        <c:minorTickMark val="none"/>
        <c:tickLblPos val="low"/>
        <c:spPr>
          <a:ln w="9525" cap="flat" cmpd="sng" algn="ctr">
            <a:solidFill>
              <a:sysClr val="windowText" lastClr="000000">
                <a:lumMod val="100000"/>
              </a:sysClr>
            </a:solidFill>
            <a:prstDash val="solid"/>
            <a:round/>
            <a:headEnd type="none" w="med" len="med"/>
            <a:tailEnd type="none" w="med" len="med"/>
          </a:ln>
        </c:spPr>
        <c:txPr>
          <a:bodyPr rot="0" vert="horz"/>
          <a:lstStyle/>
          <a:p>
            <a:pPr>
              <a:defRPr/>
            </a:pPr>
            <a:endParaRPr lang="ru-RU"/>
          </a:p>
        </c:txPr>
        <c:crossAx val="225351296"/>
        <c:crosses val="autoZero"/>
        <c:auto val="1"/>
        <c:lblAlgn val="ctr"/>
        <c:lblOffset val="100"/>
        <c:noMultiLvlLbl val="0"/>
      </c:catAx>
      <c:valAx>
        <c:axId val="225351296"/>
        <c:scaling>
          <c:orientation val="minMax"/>
          <c:max val="4"/>
          <c:min val="-8"/>
        </c:scaling>
        <c:delete val="0"/>
        <c:axPos val="l"/>
        <c:title>
          <c:tx>
            <c:rich>
              <a:bodyPr rot="-5400000" vert="horz"/>
              <a:lstStyle/>
              <a:p>
                <a:pPr>
                  <a:defRPr b="0" i="1"/>
                </a:pPr>
                <a:r>
                  <a:rPr lang="ru-RU" b="0" i="1"/>
                  <a:t> % от ВВП</a:t>
                </a:r>
              </a:p>
            </c:rich>
          </c:tx>
          <c:layout>
            <c:manualLayout>
              <c:xMode val="edge"/>
              <c:yMode val="edge"/>
              <c:x val="3.3898305084745762E-3"/>
              <c:y val="1.3980617807389462E-2"/>
            </c:manualLayout>
          </c:layout>
          <c:overlay val="0"/>
        </c:title>
        <c:numFmt formatCode="0" sourceLinked="0"/>
        <c:majorTickMark val="out"/>
        <c:minorTickMark val="none"/>
        <c:tickLblPos val="nextTo"/>
        <c:spPr>
          <a:ln w="9525" cap="flat" cmpd="sng" algn="ctr">
            <a:solidFill>
              <a:sysClr val="windowText" lastClr="000000">
                <a:lumMod val="100000"/>
              </a:sysClr>
            </a:solidFill>
            <a:prstDash val="solid"/>
            <a:round/>
            <a:headEnd type="none" w="med" len="med"/>
            <a:tailEnd type="none" w="med" len="med"/>
          </a:ln>
        </c:spPr>
        <c:crossAx val="40888320"/>
        <c:crosses val="autoZero"/>
        <c:crossBetween val="between"/>
      </c:valAx>
      <c:spPr>
        <a:noFill/>
      </c:spPr>
    </c:plotArea>
    <c:legend>
      <c:legendPos val="b"/>
      <c:layout>
        <c:manualLayout>
          <c:xMode val="edge"/>
          <c:yMode val="edge"/>
          <c:x val="0"/>
          <c:y val="0.90054043244594417"/>
          <c:w val="1"/>
          <c:h val="9.4087239095113101E-2"/>
        </c:manualLayout>
      </c:layout>
      <c:overlay val="0"/>
    </c:legend>
    <c:plotVisOnly val="1"/>
    <c:dispBlanksAs val="gap"/>
    <c:showDLblsOverMax val="0"/>
  </c:chart>
  <c:spPr>
    <a:noFill/>
    <a:ln w="9525">
      <a:noFill/>
    </a:ln>
  </c:spPr>
  <c:txPr>
    <a:bodyPr/>
    <a:lstStyle/>
    <a:p>
      <a:pPr>
        <a:defRPr sz="700">
          <a:latin typeface="Century"/>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79680038950636"/>
          <c:y val="3.6015748031496063E-2"/>
          <c:w val="0.84011389113231538"/>
          <c:h val="0.84150176248715802"/>
        </c:manualLayout>
      </c:layout>
      <c:lineChart>
        <c:grouping val="standard"/>
        <c:varyColors val="0"/>
        <c:ser>
          <c:idx val="1"/>
          <c:order val="1"/>
          <c:tx>
            <c:strRef>
              <c:f>Y!$H$3</c:f>
              <c:strCache>
                <c:ptCount val="1"/>
                <c:pt idx="0">
                  <c:v>Производство</c:v>
                </c:pt>
              </c:strCache>
            </c:strRef>
          </c:tx>
          <c:spPr>
            <a:ln w="19050">
              <a:solidFill>
                <a:srgbClr val="00B050"/>
              </a:solidFill>
            </a:ln>
          </c:spPr>
          <c:marker>
            <c:symbol val="none"/>
          </c:marker>
          <c:cat>
            <c:numRef>
              <c:f>Y!$A$9:$A$33</c:f>
              <c:numCache>
                <c:formatCode>m/d/yyyy</c:formatCode>
                <c:ptCount val="25"/>
                <c:pt idx="0">
                  <c:v>34700</c:v>
                </c:pt>
                <c:pt idx="1">
                  <c:v>35065</c:v>
                </c:pt>
                <c:pt idx="2">
                  <c:v>35431</c:v>
                </c:pt>
                <c:pt idx="3">
                  <c:v>35796</c:v>
                </c:pt>
                <c:pt idx="4">
                  <c:v>36161</c:v>
                </c:pt>
                <c:pt idx="5">
                  <c:v>36526</c:v>
                </c:pt>
                <c:pt idx="6">
                  <c:v>36892</c:v>
                </c:pt>
                <c:pt idx="7">
                  <c:v>37257</c:v>
                </c:pt>
                <c:pt idx="8">
                  <c:v>37622</c:v>
                </c:pt>
                <c:pt idx="9">
                  <c:v>37987</c:v>
                </c:pt>
                <c:pt idx="10">
                  <c:v>38353</c:v>
                </c:pt>
                <c:pt idx="11">
                  <c:v>38718</c:v>
                </c:pt>
                <c:pt idx="12">
                  <c:v>39083</c:v>
                </c:pt>
                <c:pt idx="13">
                  <c:v>39448</c:v>
                </c:pt>
                <c:pt idx="14">
                  <c:v>39814</c:v>
                </c:pt>
                <c:pt idx="15">
                  <c:v>40179</c:v>
                </c:pt>
                <c:pt idx="16">
                  <c:v>40544</c:v>
                </c:pt>
                <c:pt idx="17">
                  <c:v>40909</c:v>
                </c:pt>
                <c:pt idx="18">
                  <c:v>41275</c:v>
                </c:pt>
                <c:pt idx="19">
                  <c:v>41640</c:v>
                </c:pt>
                <c:pt idx="20">
                  <c:v>42005</c:v>
                </c:pt>
                <c:pt idx="21">
                  <c:v>42370</c:v>
                </c:pt>
                <c:pt idx="22">
                  <c:v>42736</c:v>
                </c:pt>
                <c:pt idx="23">
                  <c:v>43101</c:v>
                </c:pt>
                <c:pt idx="24">
                  <c:v>43466</c:v>
                </c:pt>
              </c:numCache>
            </c:numRef>
          </c:cat>
          <c:val>
            <c:numRef>
              <c:f>Y!$H$9:$H$33</c:f>
              <c:numCache>
                <c:formatCode>0.0</c:formatCode>
                <c:ptCount val="25"/>
                <c:pt idx="0">
                  <c:v>70.304568054800001</c:v>
                </c:pt>
                <c:pt idx="1">
                  <c:v>71.985970214500014</c:v>
                </c:pt>
                <c:pt idx="2">
                  <c:v>74.218821257000002</c:v>
                </c:pt>
                <c:pt idx="3">
                  <c:v>75.68080381610001</c:v>
                </c:pt>
                <c:pt idx="4">
                  <c:v>74.838377509200015</c:v>
                </c:pt>
                <c:pt idx="5">
                  <c:v>77.729187625000009</c:v>
                </c:pt>
                <c:pt idx="6">
                  <c:v>77.674187923599987</c:v>
                </c:pt>
                <c:pt idx="7">
                  <c:v>77.102394144800002</c:v>
                </c:pt>
                <c:pt idx="8">
                  <c:v>79.624036087699992</c:v>
                </c:pt>
                <c:pt idx="9">
                  <c:v>83.450672549300009</c:v>
                </c:pt>
                <c:pt idx="10">
                  <c:v>85.100642011499986</c:v>
                </c:pt>
                <c:pt idx="11">
                  <c:v>85.187961495899998</c:v>
                </c:pt>
                <c:pt idx="12">
                  <c:v>85.226062966400008</c:v>
                </c:pt>
                <c:pt idx="13">
                  <c:v>86.623694413199999</c:v>
                </c:pt>
                <c:pt idx="14">
                  <c:v>85.819017066000001</c:v>
                </c:pt>
                <c:pt idx="15">
                  <c:v>88.238815751399997</c:v>
                </c:pt>
                <c:pt idx="16">
                  <c:v>88.778291243200002</c:v>
                </c:pt>
                <c:pt idx="17">
                  <c:v>90.782336955900007</c:v>
                </c:pt>
                <c:pt idx="18">
                  <c:v>91.287632949900015</c:v>
                </c:pt>
                <c:pt idx="19">
                  <c:v>93.802893939599997</c:v>
                </c:pt>
                <c:pt idx="20">
                  <c:v>96.707421471399996</c:v>
                </c:pt>
                <c:pt idx="21">
                  <c:v>97.189429028999996</c:v>
                </c:pt>
                <c:pt idx="22">
                  <c:v>98.013436904599999</c:v>
                </c:pt>
                <c:pt idx="23">
                  <c:v>100.22138541859999</c:v>
                </c:pt>
                <c:pt idx="24">
                  <c:v>102.2148884528</c:v>
                </c:pt>
              </c:numCache>
            </c:numRef>
          </c:val>
          <c:smooth val="0"/>
          <c:extLst xmlns:c16r2="http://schemas.microsoft.com/office/drawing/2015/06/chart">
            <c:ext xmlns:c16="http://schemas.microsoft.com/office/drawing/2014/chart" uri="{C3380CC4-5D6E-409C-BE32-E72D297353CC}">
              <c16:uniqueId val="{00000000-ED46-4674-B73E-2133CEB4DAE4}"/>
            </c:ext>
          </c:extLst>
        </c:ser>
        <c:ser>
          <c:idx val="0"/>
          <c:order val="0"/>
          <c:tx>
            <c:strRef>
              <c:f>Y!$J$3</c:f>
              <c:strCache>
                <c:ptCount val="1"/>
                <c:pt idx="0">
                  <c:v>Произв. без сланц.США</c:v>
                </c:pt>
              </c:strCache>
            </c:strRef>
          </c:tx>
          <c:spPr>
            <a:ln w="12700">
              <a:solidFill>
                <a:srgbClr val="005A36"/>
              </a:solidFill>
              <a:prstDash val="dash"/>
            </a:ln>
          </c:spPr>
          <c:marker>
            <c:symbol val="none"/>
          </c:marker>
          <c:dLbls>
            <c:dLbl>
              <c:idx val="23"/>
              <c:layout>
                <c:manualLayout>
                  <c:x val="-6.1017232354792977E-2"/>
                  <c:y val="-9.7435897435897437E-2"/>
                </c:manualLayout>
              </c:layout>
              <c:tx>
                <c:rich>
                  <a:bodyPr/>
                  <a:lstStyle/>
                  <a:p>
                    <a:r>
                      <a:rPr lang="en-US">
                        <a:solidFill>
                          <a:schemeClr val="bg1">
                            <a:lumMod val="50000"/>
                          </a:schemeClr>
                        </a:solidFill>
                      </a:rPr>
                      <a:t>8,3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D46-4674-B73E-2133CEB4DAE4}"/>
                </c:ext>
              </c:extLst>
            </c:dLbl>
            <c:dLbl>
              <c:idx val="24"/>
              <c:layout>
                <c:manualLayout>
                  <c:x val="-3.3719663825563975E-2"/>
                  <c:y val="-9.2307692307692313E-2"/>
                </c:manualLayout>
              </c:layout>
              <c:tx>
                <c:rich>
                  <a:bodyPr/>
                  <a:lstStyle/>
                  <a:p>
                    <a:r>
                      <a:rPr lang="en-US" sz="700">
                        <a:solidFill>
                          <a:schemeClr val="bg1">
                            <a:lumMod val="50000"/>
                          </a:schemeClr>
                        </a:solidFill>
                      </a:rPr>
                      <a:t>9,3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D46-4674-B73E-2133CEB4DAE4}"/>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Y!$A$9:$A$33</c:f>
              <c:numCache>
                <c:formatCode>m/d/yyyy</c:formatCode>
                <c:ptCount val="25"/>
                <c:pt idx="0">
                  <c:v>34700</c:v>
                </c:pt>
                <c:pt idx="1">
                  <c:v>35065</c:v>
                </c:pt>
                <c:pt idx="2">
                  <c:v>35431</c:v>
                </c:pt>
                <c:pt idx="3">
                  <c:v>35796</c:v>
                </c:pt>
                <c:pt idx="4">
                  <c:v>36161</c:v>
                </c:pt>
                <c:pt idx="5">
                  <c:v>36526</c:v>
                </c:pt>
                <c:pt idx="6">
                  <c:v>36892</c:v>
                </c:pt>
                <c:pt idx="7">
                  <c:v>37257</c:v>
                </c:pt>
                <c:pt idx="8">
                  <c:v>37622</c:v>
                </c:pt>
                <c:pt idx="9">
                  <c:v>37987</c:v>
                </c:pt>
                <c:pt idx="10">
                  <c:v>38353</c:v>
                </c:pt>
                <c:pt idx="11">
                  <c:v>38718</c:v>
                </c:pt>
                <c:pt idx="12">
                  <c:v>39083</c:v>
                </c:pt>
                <c:pt idx="13">
                  <c:v>39448</c:v>
                </c:pt>
                <c:pt idx="14">
                  <c:v>39814</c:v>
                </c:pt>
                <c:pt idx="15">
                  <c:v>40179</c:v>
                </c:pt>
                <c:pt idx="16">
                  <c:v>40544</c:v>
                </c:pt>
                <c:pt idx="17">
                  <c:v>40909</c:v>
                </c:pt>
                <c:pt idx="18">
                  <c:v>41275</c:v>
                </c:pt>
                <c:pt idx="19">
                  <c:v>41640</c:v>
                </c:pt>
                <c:pt idx="20">
                  <c:v>42005</c:v>
                </c:pt>
                <c:pt idx="21">
                  <c:v>42370</c:v>
                </c:pt>
                <c:pt idx="22">
                  <c:v>42736</c:v>
                </c:pt>
                <c:pt idx="23">
                  <c:v>43101</c:v>
                </c:pt>
                <c:pt idx="24">
                  <c:v>43466</c:v>
                </c:pt>
              </c:numCache>
            </c:numRef>
          </c:cat>
          <c:val>
            <c:numRef>
              <c:f>Y!$J$9:$J$33</c:f>
              <c:numCache>
                <c:formatCode>General</c:formatCode>
                <c:ptCount val="25"/>
                <c:pt idx="11" formatCode="0.0">
                  <c:v>85.187961495899998</c:v>
                </c:pt>
                <c:pt idx="12" formatCode="0.0">
                  <c:v>85.193807256900001</c:v>
                </c:pt>
                <c:pt idx="13" formatCode="0.0">
                  <c:v>86.667035190299998</c:v>
                </c:pt>
                <c:pt idx="14" formatCode="0.0">
                  <c:v>85.385138222199998</c:v>
                </c:pt>
                <c:pt idx="15" formatCode="0.0">
                  <c:v>87.514244587099995</c:v>
                </c:pt>
                <c:pt idx="16" formatCode="0.0">
                  <c:v>87.744015950100007</c:v>
                </c:pt>
                <c:pt idx="17" formatCode="0.0">
                  <c:v>88.702421648300003</c:v>
                </c:pt>
                <c:pt idx="18" formatCode="0.0">
                  <c:v>88.04042242940001</c:v>
                </c:pt>
                <c:pt idx="19" formatCode="0.0">
                  <c:v>88.859828071199999</c:v>
                </c:pt>
                <c:pt idx="20" formatCode="0.0">
                  <c:v>90.781469216600001</c:v>
                </c:pt>
                <c:pt idx="21" formatCode="0.0">
                  <c:v>91.648093109299992</c:v>
                </c:pt>
                <c:pt idx="22" formatCode="0.0">
                  <c:v>91.746953332099991</c:v>
                </c:pt>
                <c:pt idx="23" formatCode="0.0">
                  <c:v>91.9191127677</c:v>
                </c:pt>
                <c:pt idx="24" formatCode="0.0">
                  <c:v>92.540180757499996</c:v>
                </c:pt>
              </c:numCache>
            </c:numRef>
          </c:val>
          <c:smooth val="0"/>
          <c:extLst xmlns:c16r2="http://schemas.microsoft.com/office/drawing/2015/06/chart">
            <c:ext xmlns:c16="http://schemas.microsoft.com/office/drawing/2014/chart" uri="{C3380CC4-5D6E-409C-BE32-E72D297353CC}">
              <c16:uniqueId val="{00000003-ED46-4674-B73E-2133CEB4DAE4}"/>
            </c:ext>
          </c:extLst>
        </c:ser>
        <c:ser>
          <c:idx val="2"/>
          <c:order val="2"/>
          <c:tx>
            <c:strRef>
              <c:f>Y!$K$3</c:f>
              <c:strCache>
                <c:ptCount val="1"/>
                <c:pt idx="0">
                  <c:v>Спрос</c:v>
                </c:pt>
              </c:strCache>
            </c:strRef>
          </c:tx>
          <c:spPr>
            <a:ln w="15875">
              <a:solidFill>
                <a:schemeClr val="tx1"/>
              </a:solidFill>
            </a:ln>
          </c:spPr>
          <c:marker>
            <c:symbol val="none"/>
          </c:marker>
          <c:cat>
            <c:numRef>
              <c:f>Y!$A$9:$A$33</c:f>
              <c:numCache>
                <c:formatCode>m/d/yyyy</c:formatCode>
                <c:ptCount val="25"/>
                <c:pt idx="0">
                  <c:v>34700</c:v>
                </c:pt>
                <c:pt idx="1">
                  <c:v>35065</c:v>
                </c:pt>
                <c:pt idx="2">
                  <c:v>35431</c:v>
                </c:pt>
                <c:pt idx="3">
                  <c:v>35796</c:v>
                </c:pt>
                <c:pt idx="4">
                  <c:v>36161</c:v>
                </c:pt>
                <c:pt idx="5">
                  <c:v>36526</c:v>
                </c:pt>
                <c:pt idx="6">
                  <c:v>36892</c:v>
                </c:pt>
                <c:pt idx="7">
                  <c:v>37257</c:v>
                </c:pt>
                <c:pt idx="8">
                  <c:v>37622</c:v>
                </c:pt>
                <c:pt idx="9">
                  <c:v>37987</c:v>
                </c:pt>
                <c:pt idx="10">
                  <c:v>38353</c:v>
                </c:pt>
                <c:pt idx="11">
                  <c:v>38718</c:v>
                </c:pt>
                <c:pt idx="12">
                  <c:v>39083</c:v>
                </c:pt>
                <c:pt idx="13">
                  <c:v>39448</c:v>
                </c:pt>
                <c:pt idx="14">
                  <c:v>39814</c:v>
                </c:pt>
                <c:pt idx="15">
                  <c:v>40179</c:v>
                </c:pt>
                <c:pt idx="16">
                  <c:v>40544</c:v>
                </c:pt>
                <c:pt idx="17">
                  <c:v>40909</c:v>
                </c:pt>
                <c:pt idx="18">
                  <c:v>41275</c:v>
                </c:pt>
                <c:pt idx="19">
                  <c:v>41640</c:v>
                </c:pt>
                <c:pt idx="20">
                  <c:v>42005</c:v>
                </c:pt>
                <c:pt idx="21">
                  <c:v>42370</c:v>
                </c:pt>
                <c:pt idx="22">
                  <c:v>42736</c:v>
                </c:pt>
                <c:pt idx="23">
                  <c:v>43101</c:v>
                </c:pt>
                <c:pt idx="24">
                  <c:v>43466</c:v>
                </c:pt>
              </c:numCache>
            </c:numRef>
          </c:cat>
          <c:val>
            <c:numRef>
              <c:f>Y!$B$9:$B$33</c:f>
              <c:numCache>
                <c:formatCode>0.0</c:formatCode>
                <c:ptCount val="25"/>
                <c:pt idx="0">
                  <c:v>69.984801649000005</c:v>
                </c:pt>
                <c:pt idx="1">
                  <c:v>71.562943507</c:v>
                </c:pt>
                <c:pt idx="2">
                  <c:v>73.284241101000006</c:v>
                </c:pt>
                <c:pt idx="3">
                  <c:v>73.927785852</c:v>
                </c:pt>
                <c:pt idx="4">
                  <c:v>75.259988996999994</c:v>
                </c:pt>
                <c:pt idx="5">
                  <c:v>77.138258194000002</c:v>
                </c:pt>
                <c:pt idx="6">
                  <c:v>78.152629011000002</c:v>
                </c:pt>
                <c:pt idx="7">
                  <c:v>78.433988882999998</c:v>
                </c:pt>
                <c:pt idx="8">
                  <c:v>79.907055897999996</c:v>
                </c:pt>
                <c:pt idx="9">
                  <c:v>82.961696036000006</c:v>
                </c:pt>
                <c:pt idx="10">
                  <c:v>84.402281087999995</c:v>
                </c:pt>
                <c:pt idx="11">
                  <c:v>85.488141459999994</c:v>
                </c:pt>
                <c:pt idx="12">
                  <c:v>86.358209832</c:v>
                </c:pt>
                <c:pt idx="13">
                  <c:v>85.395016815999995</c:v>
                </c:pt>
                <c:pt idx="14">
                  <c:v>85.457142246000004</c:v>
                </c:pt>
                <c:pt idx="15">
                  <c:v>89.059482485999993</c:v>
                </c:pt>
                <c:pt idx="16">
                  <c:v>89.794504263999997</c:v>
                </c:pt>
                <c:pt idx="17">
                  <c:v>90.991886484999995</c:v>
                </c:pt>
                <c:pt idx="18">
                  <c:v>92.194823678999995</c:v>
                </c:pt>
                <c:pt idx="19">
                  <c:v>93.589294766999998</c:v>
                </c:pt>
                <c:pt idx="20">
                  <c:v>95.361139868999999</c:v>
                </c:pt>
                <c:pt idx="21">
                  <c:v>96.868965634999995</c:v>
                </c:pt>
                <c:pt idx="22">
                  <c:v>98.491717742999995</c:v>
                </c:pt>
                <c:pt idx="23">
                  <c:v>100.29330702999999</c:v>
                </c:pt>
                <c:pt idx="24">
                  <c:v>102.00548662</c:v>
                </c:pt>
              </c:numCache>
            </c:numRef>
          </c:val>
          <c:smooth val="0"/>
          <c:extLst xmlns:c16r2="http://schemas.microsoft.com/office/drawing/2015/06/chart">
            <c:ext xmlns:c16="http://schemas.microsoft.com/office/drawing/2014/chart" uri="{C3380CC4-5D6E-409C-BE32-E72D297353CC}">
              <c16:uniqueId val="{00000004-ED46-4674-B73E-2133CEB4DAE4}"/>
            </c:ext>
          </c:extLst>
        </c:ser>
        <c:dLbls>
          <c:showLegendKey val="0"/>
          <c:showVal val="0"/>
          <c:showCatName val="0"/>
          <c:showSerName val="0"/>
          <c:showPercent val="0"/>
          <c:showBubbleSize val="0"/>
        </c:dLbls>
        <c:marker val="1"/>
        <c:smooth val="0"/>
        <c:axId val="40887296"/>
        <c:axId val="225353024"/>
      </c:lineChart>
      <c:dateAx>
        <c:axId val="40887296"/>
        <c:scaling>
          <c:orientation val="minMax"/>
          <c:max val="43101"/>
        </c:scaling>
        <c:delete val="0"/>
        <c:axPos val="b"/>
        <c:numFmt formatCode="yyyy" sourceLinked="0"/>
        <c:majorTickMark val="out"/>
        <c:minorTickMark val="none"/>
        <c:tickLblPos val="low"/>
        <c:spPr>
          <a:ln w="9525" cap="flat" cmpd="sng" algn="ctr">
            <a:solidFill>
              <a:sysClr val="windowText" lastClr="000000">
                <a:lumMod val="100000"/>
              </a:sysClr>
            </a:solidFill>
            <a:prstDash val="solid"/>
            <a:round/>
            <a:headEnd type="none" w="med" len="med"/>
            <a:tailEnd type="none" w="med" len="med"/>
          </a:ln>
        </c:spPr>
        <c:txPr>
          <a:bodyPr rot="0" vert="horz"/>
          <a:lstStyle/>
          <a:p>
            <a:pPr>
              <a:defRPr/>
            </a:pPr>
            <a:endParaRPr lang="ru-RU"/>
          </a:p>
        </c:txPr>
        <c:crossAx val="225353024"/>
        <c:crosses val="autoZero"/>
        <c:auto val="1"/>
        <c:lblOffset val="100"/>
        <c:baseTimeUnit val="years"/>
        <c:majorUnit val="5"/>
        <c:majorTimeUnit val="years"/>
      </c:dateAx>
      <c:valAx>
        <c:axId val="225353024"/>
        <c:scaling>
          <c:orientation val="minMax"/>
          <c:max val="103"/>
          <c:min val="70"/>
        </c:scaling>
        <c:delete val="0"/>
        <c:axPos val="l"/>
        <c:title>
          <c:tx>
            <c:rich>
              <a:bodyPr rot="-5400000" vert="horz"/>
              <a:lstStyle/>
              <a:p>
                <a:pPr>
                  <a:defRPr b="0" i="1"/>
                </a:pPr>
                <a:r>
                  <a:rPr lang="ru-RU" b="0" i="1"/>
                  <a:t>млн б/с</a:t>
                </a:r>
              </a:p>
            </c:rich>
          </c:tx>
          <c:layout>
            <c:manualLayout>
              <c:xMode val="edge"/>
              <c:yMode val="edge"/>
              <c:x val="0.12116147900564028"/>
              <c:y val="3.3029481273347053E-2"/>
            </c:manualLayout>
          </c:layout>
          <c:overlay val="0"/>
        </c:title>
        <c:numFmt formatCode="0" sourceLinked="0"/>
        <c:majorTickMark val="out"/>
        <c:minorTickMark val="none"/>
        <c:tickLblPos val="nextTo"/>
        <c:spPr>
          <a:ln w="9525" cap="flat" cmpd="sng" algn="ctr">
            <a:solidFill>
              <a:sysClr val="windowText" lastClr="000000">
                <a:lumMod val="100000"/>
              </a:sysClr>
            </a:solidFill>
            <a:prstDash val="solid"/>
            <a:round/>
            <a:headEnd type="none" w="med" len="med"/>
            <a:tailEnd type="none" w="med" len="med"/>
          </a:ln>
        </c:spPr>
        <c:crossAx val="40887296"/>
        <c:crosses val="autoZero"/>
        <c:crossBetween val="between"/>
      </c:valAx>
    </c:plotArea>
    <c:legend>
      <c:legendPos val="b"/>
      <c:layout>
        <c:manualLayout>
          <c:xMode val="edge"/>
          <c:yMode val="edge"/>
          <c:x val="0.20593964296347225"/>
          <c:y val="4.9136907679071237E-2"/>
          <c:w val="0.59229836713276929"/>
          <c:h val="0.16248134958233956"/>
        </c:manualLayout>
      </c:layout>
      <c:overlay val="0"/>
      <c:txPr>
        <a:bodyPr/>
        <a:lstStyle/>
        <a:p>
          <a:pPr>
            <a:defRPr sz="900"/>
          </a:pPr>
          <a:endParaRPr lang="ru-RU"/>
        </a:p>
      </c:txPr>
    </c:legend>
    <c:plotVisOnly val="1"/>
    <c:dispBlanksAs val="gap"/>
    <c:showDLblsOverMax val="0"/>
  </c:chart>
  <c:spPr>
    <a:ln w="9525">
      <a:noFill/>
    </a:ln>
  </c:spPr>
  <c:txPr>
    <a:bodyPr/>
    <a:lstStyle/>
    <a:p>
      <a:pPr>
        <a:defRPr sz="1000">
          <a:latin typeface="Century"/>
        </a:defRPr>
      </a:pPr>
      <a:endParaRPr lang="ru-RU"/>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26946631671042"/>
          <c:y val="4.1032063110337816E-2"/>
          <c:w val="0.82517497812773399"/>
          <c:h val="0.65149602605093071"/>
        </c:manualLayout>
      </c:layout>
      <c:barChart>
        <c:barDir val="col"/>
        <c:grouping val="stacked"/>
        <c:varyColors val="0"/>
        <c:ser>
          <c:idx val="0"/>
          <c:order val="0"/>
          <c:tx>
            <c:strRef>
              <c:f>Q!$J$87</c:f>
              <c:strCache>
                <c:ptCount val="1"/>
                <c:pt idx="0">
                  <c:v>Ливия</c:v>
                </c:pt>
              </c:strCache>
            </c:strRef>
          </c:tx>
          <c:spPr>
            <a:solidFill>
              <a:srgbClr val="005000"/>
            </a:solidFill>
          </c:spPr>
          <c:invertIfNegative val="0"/>
          <c:cat>
            <c:strRef>
              <c:f>Q!$I$88:$I$117</c:f>
              <c:strCache>
                <c:ptCount val="30"/>
                <c:pt idx="0">
                  <c:v>1кв11</c:v>
                </c:pt>
                <c:pt idx="1">
                  <c:v>2кв11</c:v>
                </c:pt>
                <c:pt idx="2">
                  <c:v>3кв11</c:v>
                </c:pt>
                <c:pt idx="3">
                  <c:v>4кв11</c:v>
                </c:pt>
                <c:pt idx="4">
                  <c:v>1кв12</c:v>
                </c:pt>
                <c:pt idx="5">
                  <c:v>2кв12</c:v>
                </c:pt>
                <c:pt idx="6">
                  <c:v>3кв12</c:v>
                </c:pt>
                <c:pt idx="7">
                  <c:v>4кв12</c:v>
                </c:pt>
                <c:pt idx="8">
                  <c:v>1кв13</c:v>
                </c:pt>
                <c:pt idx="9">
                  <c:v>2кв13</c:v>
                </c:pt>
                <c:pt idx="10">
                  <c:v>3кв13</c:v>
                </c:pt>
                <c:pt idx="11">
                  <c:v>4кв13</c:v>
                </c:pt>
                <c:pt idx="12">
                  <c:v>1кв14</c:v>
                </c:pt>
                <c:pt idx="13">
                  <c:v>2кв14</c:v>
                </c:pt>
                <c:pt idx="14">
                  <c:v>3кв14</c:v>
                </c:pt>
                <c:pt idx="15">
                  <c:v>4кв14</c:v>
                </c:pt>
                <c:pt idx="16">
                  <c:v>1кв15</c:v>
                </c:pt>
                <c:pt idx="17">
                  <c:v>2кв15</c:v>
                </c:pt>
                <c:pt idx="18">
                  <c:v>3кв15</c:v>
                </c:pt>
                <c:pt idx="19">
                  <c:v>4кв15</c:v>
                </c:pt>
                <c:pt idx="20">
                  <c:v>1кв16</c:v>
                </c:pt>
                <c:pt idx="21">
                  <c:v>2кв16</c:v>
                </c:pt>
                <c:pt idx="22">
                  <c:v>3кв16</c:v>
                </c:pt>
                <c:pt idx="23">
                  <c:v>4кв16</c:v>
                </c:pt>
                <c:pt idx="24">
                  <c:v>1кв17</c:v>
                </c:pt>
                <c:pt idx="25">
                  <c:v>2кв17</c:v>
                </c:pt>
                <c:pt idx="26">
                  <c:v>3кв17</c:v>
                </c:pt>
                <c:pt idx="27">
                  <c:v>4кв17</c:v>
                </c:pt>
                <c:pt idx="28">
                  <c:v>1кв18</c:v>
                </c:pt>
                <c:pt idx="29">
                  <c:v>июн'18</c:v>
                </c:pt>
              </c:strCache>
            </c:strRef>
          </c:cat>
          <c:val>
            <c:numRef>
              <c:f>Q!$J$88:$J$117</c:f>
              <c:numCache>
                <c:formatCode>0.00</c:formatCode>
                <c:ptCount val="30"/>
                <c:pt idx="0">
                  <c:v>-0.56144444439999996</c:v>
                </c:pt>
                <c:pt idx="1">
                  <c:v>-1.48296703297</c:v>
                </c:pt>
                <c:pt idx="2">
                  <c:v>-1.583695652174</c:v>
                </c:pt>
                <c:pt idx="3">
                  <c:v>-1.0999999999999999</c:v>
                </c:pt>
                <c:pt idx="4">
                  <c:v>-0.46703296699999997</c:v>
                </c:pt>
                <c:pt idx="5">
                  <c:v>-0.25</c:v>
                </c:pt>
                <c:pt idx="6">
                  <c:v>-0.20054347829999997</c:v>
                </c:pt>
                <c:pt idx="7">
                  <c:v>-0.21684782609999997</c:v>
                </c:pt>
                <c:pt idx="8">
                  <c:v>-0.28444444439999983</c:v>
                </c:pt>
                <c:pt idx="9">
                  <c:v>-0.31571428569999993</c:v>
                </c:pt>
                <c:pt idx="10">
                  <c:v>-0.99684782608999989</c:v>
                </c:pt>
                <c:pt idx="11">
                  <c:v>-1.3154347826099999</c:v>
                </c:pt>
                <c:pt idx="12">
                  <c:v>-1.27</c:v>
                </c:pt>
                <c:pt idx="13">
                  <c:v>-1.4249450549499998</c:v>
                </c:pt>
                <c:pt idx="14">
                  <c:v>-1.0688586956499999</c:v>
                </c:pt>
                <c:pt idx="15">
                  <c:v>-0.95749999999999991</c:v>
                </c:pt>
                <c:pt idx="16">
                  <c:v>-1.24694444444</c:v>
                </c:pt>
                <c:pt idx="17">
                  <c:v>-1.20186813187</c:v>
                </c:pt>
                <c:pt idx="18">
                  <c:v>-1.27163043478</c:v>
                </c:pt>
                <c:pt idx="19">
                  <c:v>-1.2632065217399999</c:v>
                </c:pt>
                <c:pt idx="20">
                  <c:v>-1.30021978022</c:v>
                </c:pt>
                <c:pt idx="21">
                  <c:v>-1.3353296703299999</c:v>
                </c:pt>
                <c:pt idx="22">
                  <c:v>-1.3602173913</c:v>
                </c:pt>
                <c:pt idx="23">
                  <c:v>-1.06663043478</c:v>
                </c:pt>
                <c:pt idx="24">
                  <c:v>-0.99788888888999994</c:v>
                </c:pt>
                <c:pt idx="25">
                  <c:v>-0.92769230768999988</c:v>
                </c:pt>
                <c:pt idx="26">
                  <c:v>-0.7098369565199999</c:v>
                </c:pt>
                <c:pt idx="27">
                  <c:v>-0.69695652173999989</c:v>
                </c:pt>
                <c:pt idx="28">
                  <c:v>-0.65311111110999986</c:v>
                </c:pt>
                <c:pt idx="29">
                  <c:v>-0.96</c:v>
                </c:pt>
              </c:numCache>
            </c:numRef>
          </c:val>
          <c:extLst xmlns:c16r2="http://schemas.microsoft.com/office/drawing/2015/06/chart">
            <c:ext xmlns:c16="http://schemas.microsoft.com/office/drawing/2014/chart" uri="{C3380CC4-5D6E-409C-BE32-E72D297353CC}">
              <c16:uniqueId val="{00000000-843F-4868-B108-F7A753C825FB}"/>
            </c:ext>
          </c:extLst>
        </c:ser>
        <c:ser>
          <c:idx val="1"/>
          <c:order val="1"/>
          <c:tx>
            <c:strRef>
              <c:f>Q!$K$87</c:f>
              <c:strCache>
                <c:ptCount val="1"/>
                <c:pt idx="0">
                  <c:v>Нигерия</c:v>
                </c:pt>
              </c:strCache>
            </c:strRef>
          </c:tx>
          <c:spPr>
            <a:solidFill>
              <a:srgbClr val="948A54"/>
            </a:solidFill>
          </c:spPr>
          <c:invertIfNegative val="0"/>
          <c:cat>
            <c:strRef>
              <c:f>Q!$I$88:$I$117</c:f>
              <c:strCache>
                <c:ptCount val="30"/>
                <c:pt idx="0">
                  <c:v>1кв11</c:v>
                </c:pt>
                <c:pt idx="1">
                  <c:v>2кв11</c:v>
                </c:pt>
                <c:pt idx="2">
                  <c:v>3кв11</c:v>
                </c:pt>
                <c:pt idx="3">
                  <c:v>4кв11</c:v>
                </c:pt>
                <c:pt idx="4">
                  <c:v>1кв12</c:v>
                </c:pt>
                <c:pt idx="5">
                  <c:v>2кв12</c:v>
                </c:pt>
                <c:pt idx="6">
                  <c:v>3кв12</c:v>
                </c:pt>
                <c:pt idx="7">
                  <c:v>4кв12</c:v>
                </c:pt>
                <c:pt idx="8">
                  <c:v>1кв13</c:v>
                </c:pt>
                <c:pt idx="9">
                  <c:v>2кв13</c:v>
                </c:pt>
                <c:pt idx="10">
                  <c:v>3кв13</c:v>
                </c:pt>
                <c:pt idx="11">
                  <c:v>4кв13</c:v>
                </c:pt>
                <c:pt idx="12">
                  <c:v>1кв14</c:v>
                </c:pt>
                <c:pt idx="13">
                  <c:v>2кв14</c:v>
                </c:pt>
                <c:pt idx="14">
                  <c:v>3кв14</c:v>
                </c:pt>
                <c:pt idx="15">
                  <c:v>4кв14</c:v>
                </c:pt>
                <c:pt idx="16">
                  <c:v>1кв15</c:v>
                </c:pt>
                <c:pt idx="17">
                  <c:v>2кв15</c:v>
                </c:pt>
                <c:pt idx="18">
                  <c:v>3кв15</c:v>
                </c:pt>
                <c:pt idx="19">
                  <c:v>4кв15</c:v>
                </c:pt>
                <c:pt idx="20">
                  <c:v>1кв16</c:v>
                </c:pt>
                <c:pt idx="21">
                  <c:v>2кв16</c:v>
                </c:pt>
                <c:pt idx="22">
                  <c:v>3кв16</c:v>
                </c:pt>
                <c:pt idx="23">
                  <c:v>4кв16</c:v>
                </c:pt>
                <c:pt idx="24">
                  <c:v>1кв17</c:v>
                </c:pt>
                <c:pt idx="25">
                  <c:v>2кв17</c:v>
                </c:pt>
                <c:pt idx="26">
                  <c:v>3кв17</c:v>
                </c:pt>
                <c:pt idx="27">
                  <c:v>4кв17</c:v>
                </c:pt>
                <c:pt idx="28">
                  <c:v>1кв18</c:v>
                </c:pt>
                <c:pt idx="29">
                  <c:v>июн'18</c:v>
                </c:pt>
              </c:strCache>
            </c:strRef>
          </c:cat>
          <c:val>
            <c:numRef>
              <c:f>Q!$K$88:$K$117</c:f>
              <c:numCache>
                <c:formatCode>0.00</c:formatCode>
                <c:ptCount val="30"/>
                <c:pt idx="0">
                  <c:v>1.9360671799999896E-2</c:v>
                </c:pt>
                <c:pt idx="1">
                  <c:v>1.6752979500000098E-2</c:v>
                </c:pt>
                <c:pt idx="2">
                  <c:v>5.7865019599999901E-2</c:v>
                </c:pt>
                <c:pt idx="3">
                  <c:v>-0.11963498039999987</c:v>
                </c:pt>
                <c:pt idx="4">
                  <c:v>-3.2466800699999965E-2</c:v>
                </c:pt>
                <c:pt idx="5">
                  <c:v>4.1840891600000152E-2</c:v>
                </c:pt>
                <c:pt idx="6">
                  <c:v>1.7865019600000309E-2</c:v>
                </c:pt>
                <c:pt idx="7">
                  <c:v>-0.12708063250000001</c:v>
                </c:pt>
                <c:pt idx="8">
                  <c:v>-0.18030599489999988</c:v>
                </c:pt>
                <c:pt idx="9">
                  <c:v>-0.26189537219999992</c:v>
                </c:pt>
                <c:pt idx="10">
                  <c:v>-0.14314584990000001</c:v>
                </c:pt>
                <c:pt idx="11">
                  <c:v>-0.25170019779999997</c:v>
                </c:pt>
                <c:pt idx="12">
                  <c:v>-0.15436155039999999</c:v>
                </c:pt>
                <c:pt idx="13">
                  <c:v>-0.15384042710000001</c:v>
                </c:pt>
                <c:pt idx="14">
                  <c:v>-0.2132545455999999</c:v>
                </c:pt>
                <c:pt idx="15">
                  <c:v>-0.1623958499</c:v>
                </c:pt>
                <c:pt idx="16">
                  <c:v>-0.26940599489999983</c:v>
                </c:pt>
                <c:pt idx="17">
                  <c:v>-0.34960965789999987</c:v>
                </c:pt>
                <c:pt idx="18">
                  <c:v>-0.27359150209999994</c:v>
                </c:pt>
                <c:pt idx="19">
                  <c:v>-0.2523523716999998</c:v>
                </c:pt>
                <c:pt idx="20">
                  <c:v>-0.31808218529999999</c:v>
                </c:pt>
                <c:pt idx="21">
                  <c:v>-0.60835691059999997</c:v>
                </c:pt>
                <c:pt idx="22">
                  <c:v>-0.7715697629999998</c:v>
                </c:pt>
                <c:pt idx="23">
                  <c:v>-0.6258088933999999</c:v>
                </c:pt>
                <c:pt idx="24">
                  <c:v>-0.66316155039999991</c:v>
                </c:pt>
                <c:pt idx="25">
                  <c:v>-0.55790636119999992</c:v>
                </c:pt>
                <c:pt idx="26">
                  <c:v>-0.36521106729999997</c:v>
                </c:pt>
                <c:pt idx="27">
                  <c:v>-0.31999367599999995</c:v>
                </c:pt>
                <c:pt idx="28">
                  <c:v>-0.32493932819999993</c:v>
                </c:pt>
                <c:pt idx="29">
                  <c:v>-0.4249393281999998</c:v>
                </c:pt>
              </c:numCache>
            </c:numRef>
          </c:val>
          <c:extLst xmlns:c16r2="http://schemas.microsoft.com/office/drawing/2015/06/chart">
            <c:ext xmlns:c16="http://schemas.microsoft.com/office/drawing/2014/chart" uri="{C3380CC4-5D6E-409C-BE32-E72D297353CC}">
              <c16:uniqueId val="{00000001-843F-4868-B108-F7A753C825FB}"/>
            </c:ext>
          </c:extLst>
        </c:ser>
        <c:ser>
          <c:idx val="2"/>
          <c:order val="2"/>
          <c:tx>
            <c:strRef>
              <c:f>Q!$L$87</c:f>
              <c:strCache>
                <c:ptCount val="1"/>
                <c:pt idx="0">
                  <c:v>Иран</c:v>
                </c:pt>
              </c:strCache>
            </c:strRef>
          </c:tx>
          <c:spPr>
            <a:pattFill prst="dkUpDiag">
              <a:fgClr>
                <a:schemeClr val="tx1">
                  <a:lumMod val="85000"/>
                  <a:lumOff val="15000"/>
                </a:schemeClr>
              </a:fgClr>
              <a:bgClr>
                <a:schemeClr val="bg1"/>
              </a:bgClr>
            </a:pattFill>
          </c:spPr>
          <c:invertIfNegative val="0"/>
          <c:cat>
            <c:strRef>
              <c:f>Q!$I$88:$I$117</c:f>
              <c:strCache>
                <c:ptCount val="30"/>
                <c:pt idx="0">
                  <c:v>1кв11</c:v>
                </c:pt>
                <c:pt idx="1">
                  <c:v>2кв11</c:v>
                </c:pt>
                <c:pt idx="2">
                  <c:v>3кв11</c:v>
                </c:pt>
                <c:pt idx="3">
                  <c:v>4кв11</c:v>
                </c:pt>
                <c:pt idx="4">
                  <c:v>1кв12</c:v>
                </c:pt>
                <c:pt idx="5">
                  <c:v>2кв12</c:v>
                </c:pt>
                <c:pt idx="6">
                  <c:v>3кв12</c:v>
                </c:pt>
                <c:pt idx="7">
                  <c:v>4кв12</c:v>
                </c:pt>
                <c:pt idx="8">
                  <c:v>1кв13</c:v>
                </c:pt>
                <c:pt idx="9">
                  <c:v>2кв13</c:v>
                </c:pt>
                <c:pt idx="10">
                  <c:v>3кв13</c:v>
                </c:pt>
                <c:pt idx="11">
                  <c:v>4кв13</c:v>
                </c:pt>
                <c:pt idx="12">
                  <c:v>1кв14</c:v>
                </c:pt>
                <c:pt idx="13">
                  <c:v>2кв14</c:v>
                </c:pt>
                <c:pt idx="14">
                  <c:v>3кв14</c:v>
                </c:pt>
                <c:pt idx="15">
                  <c:v>4кв14</c:v>
                </c:pt>
                <c:pt idx="16">
                  <c:v>1кв15</c:v>
                </c:pt>
                <c:pt idx="17">
                  <c:v>2кв15</c:v>
                </c:pt>
                <c:pt idx="18">
                  <c:v>3кв15</c:v>
                </c:pt>
                <c:pt idx="19">
                  <c:v>4кв15</c:v>
                </c:pt>
                <c:pt idx="20">
                  <c:v>1кв16</c:v>
                </c:pt>
                <c:pt idx="21">
                  <c:v>2кв16</c:v>
                </c:pt>
                <c:pt idx="22">
                  <c:v>3кв16</c:v>
                </c:pt>
                <c:pt idx="23">
                  <c:v>4кв16</c:v>
                </c:pt>
                <c:pt idx="24">
                  <c:v>1кв17</c:v>
                </c:pt>
                <c:pt idx="25">
                  <c:v>2кв17</c:v>
                </c:pt>
                <c:pt idx="26">
                  <c:v>3кв17</c:v>
                </c:pt>
                <c:pt idx="27">
                  <c:v>4кв17</c:v>
                </c:pt>
                <c:pt idx="28">
                  <c:v>1кв18</c:v>
                </c:pt>
                <c:pt idx="29">
                  <c:v>июн'18</c:v>
                </c:pt>
              </c:strCache>
            </c:strRef>
          </c:cat>
          <c:val>
            <c:numRef>
              <c:f>Q!$L$88:$L$117</c:f>
              <c:numCache>
                <c:formatCode>0.00</c:formatCode>
                <c:ptCount val="30"/>
                <c:pt idx="0">
                  <c:v>-4.9999999999999822E-2</c:v>
                </c:pt>
                <c:pt idx="1">
                  <c:v>-4.9999999999999822E-2</c:v>
                </c:pt>
                <c:pt idx="2">
                  <c:v>-0.10000000000000009</c:v>
                </c:pt>
                <c:pt idx="3">
                  <c:v>-0.16684782610000015</c:v>
                </c:pt>
                <c:pt idx="4">
                  <c:v>-0.35000000000000009</c:v>
                </c:pt>
                <c:pt idx="5">
                  <c:v>-0.65796703299999981</c:v>
                </c:pt>
                <c:pt idx="6">
                  <c:v>-0.9831521739000002</c:v>
                </c:pt>
                <c:pt idx="7">
                  <c:v>-1.0567391304</c:v>
                </c:pt>
                <c:pt idx="8">
                  <c:v>-1.0699999999999998</c:v>
                </c:pt>
                <c:pt idx="9">
                  <c:v>-1.0699999999999998</c:v>
                </c:pt>
                <c:pt idx="10">
                  <c:v>-1.0699999999999998</c:v>
                </c:pt>
                <c:pt idx="11">
                  <c:v>-1.0632608696000001</c:v>
                </c:pt>
                <c:pt idx="12">
                  <c:v>-0.95000000000000018</c:v>
                </c:pt>
                <c:pt idx="13">
                  <c:v>-0.95000000000000018</c:v>
                </c:pt>
                <c:pt idx="14">
                  <c:v>-0.95000000000000018</c:v>
                </c:pt>
                <c:pt idx="15">
                  <c:v>-0.95000000000000018</c:v>
                </c:pt>
                <c:pt idx="16">
                  <c:v>-0.95000000000000018</c:v>
                </c:pt>
                <c:pt idx="17">
                  <c:v>-0.95000000000000018</c:v>
                </c:pt>
                <c:pt idx="18">
                  <c:v>-0.95000000000000018</c:v>
                </c:pt>
                <c:pt idx="19">
                  <c:v>-0.95000000000000018</c:v>
                </c:pt>
                <c:pt idx="20">
                  <c:v>-0.49890109889999978</c:v>
                </c:pt>
                <c:pt idx="21">
                  <c:v>-0.13659340659999986</c:v>
                </c:pt>
                <c:pt idx="22">
                  <c:v>-8.0217391300000163E-2</c:v>
                </c:pt>
                <c:pt idx="23">
                  <c:v>-1.6521739099999877E-2</c:v>
                </c:pt>
                <c:pt idx="24">
                  <c:v>5.3444444400000179E-2</c:v>
                </c:pt>
                <c:pt idx="25">
                  <c:v>6.3296703299999812E-2</c:v>
                </c:pt>
                <c:pt idx="26">
                  <c:v>8.326086960000012E-2</c:v>
                </c:pt>
                <c:pt idx="27">
                  <c:v>8.9999999999999858E-2</c:v>
                </c:pt>
                <c:pt idx="28">
                  <c:v>7.9833333299999865E-2</c:v>
                </c:pt>
                <c:pt idx="29">
                  <c:v>2.9999999999999805E-2</c:v>
                </c:pt>
              </c:numCache>
            </c:numRef>
          </c:val>
          <c:extLst xmlns:c16r2="http://schemas.microsoft.com/office/drawing/2015/06/chart">
            <c:ext xmlns:c16="http://schemas.microsoft.com/office/drawing/2014/chart" uri="{C3380CC4-5D6E-409C-BE32-E72D297353CC}">
              <c16:uniqueId val="{00000002-843F-4868-B108-F7A753C825FB}"/>
            </c:ext>
          </c:extLst>
        </c:ser>
        <c:ser>
          <c:idx val="3"/>
          <c:order val="3"/>
          <c:tx>
            <c:strRef>
              <c:f>Q!$N$87</c:f>
              <c:strCache>
                <c:ptCount val="1"/>
                <c:pt idx="0">
                  <c:v>США</c:v>
                </c:pt>
              </c:strCache>
            </c:strRef>
          </c:tx>
          <c:spPr>
            <a:solidFill>
              <a:srgbClr val="00B050"/>
            </a:solidFill>
          </c:spPr>
          <c:invertIfNegative val="0"/>
          <c:cat>
            <c:strRef>
              <c:f>Q!$I$88:$I$117</c:f>
              <c:strCache>
                <c:ptCount val="30"/>
                <c:pt idx="0">
                  <c:v>1кв11</c:v>
                </c:pt>
                <c:pt idx="1">
                  <c:v>2кв11</c:v>
                </c:pt>
                <c:pt idx="2">
                  <c:v>3кв11</c:v>
                </c:pt>
                <c:pt idx="3">
                  <c:v>4кв11</c:v>
                </c:pt>
                <c:pt idx="4">
                  <c:v>1кв12</c:v>
                </c:pt>
                <c:pt idx="5">
                  <c:v>2кв12</c:v>
                </c:pt>
                <c:pt idx="6">
                  <c:v>3кв12</c:v>
                </c:pt>
                <c:pt idx="7">
                  <c:v>4кв12</c:v>
                </c:pt>
                <c:pt idx="8">
                  <c:v>1кв13</c:v>
                </c:pt>
                <c:pt idx="9">
                  <c:v>2кв13</c:v>
                </c:pt>
                <c:pt idx="10">
                  <c:v>3кв13</c:v>
                </c:pt>
                <c:pt idx="11">
                  <c:v>4кв13</c:v>
                </c:pt>
                <c:pt idx="12">
                  <c:v>1кв14</c:v>
                </c:pt>
                <c:pt idx="13">
                  <c:v>2кв14</c:v>
                </c:pt>
                <c:pt idx="14">
                  <c:v>3кв14</c:v>
                </c:pt>
                <c:pt idx="15">
                  <c:v>4кв14</c:v>
                </c:pt>
                <c:pt idx="16">
                  <c:v>1кв15</c:v>
                </c:pt>
                <c:pt idx="17">
                  <c:v>2кв15</c:v>
                </c:pt>
                <c:pt idx="18">
                  <c:v>3кв15</c:v>
                </c:pt>
                <c:pt idx="19">
                  <c:v>4кв15</c:v>
                </c:pt>
                <c:pt idx="20">
                  <c:v>1кв16</c:v>
                </c:pt>
                <c:pt idx="21">
                  <c:v>2кв16</c:v>
                </c:pt>
                <c:pt idx="22">
                  <c:v>3кв16</c:v>
                </c:pt>
                <c:pt idx="23">
                  <c:v>4кв16</c:v>
                </c:pt>
                <c:pt idx="24">
                  <c:v>1кв17</c:v>
                </c:pt>
                <c:pt idx="25">
                  <c:v>2кв17</c:v>
                </c:pt>
                <c:pt idx="26">
                  <c:v>3кв17</c:v>
                </c:pt>
                <c:pt idx="27">
                  <c:v>4кв17</c:v>
                </c:pt>
                <c:pt idx="28">
                  <c:v>1кв18</c:v>
                </c:pt>
                <c:pt idx="29">
                  <c:v>июн'18</c:v>
                </c:pt>
              </c:strCache>
            </c:strRef>
          </c:cat>
          <c:val>
            <c:numRef>
              <c:f>Q!$N$88:$N$117</c:f>
              <c:numCache>
                <c:formatCode>0.00</c:formatCode>
                <c:ptCount val="30"/>
                <c:pt idx="0">
                  <c:v>2.1766095350000292E-2</c:v>
                </c:pt>
                <c:pt idx="1">
                  <c:v>9.9616476750000515E-2</c:v>
                </c:pt>
                <c:pt idx="2">
                  <c:v>6.7040089049999807E-2</c:v>
                </c:pt>
                <c:pt idx="3">
                  <c:v>0.47924857814999999</c:v>
                </c:pt>
                <c:pt idx="4">
                  <c:v>0.74770809214999989</c:v>
                </c:pt>
                <c:pt idx="5">
                  <c:v>0.82194336685000025</c:v>
                </c:pt>
                <c:pt idx="6">
                  <c:v>0.96947971944999978</c:v>
                </c:pt>
                <c:pt idx="7">
                  <c:v>1.5423837521500001</c:v>
                </c:pt>
                <c:pt idx="8">
                  <c:v>1.6616790508500001</c:v>
                </c:pt>
                <c:pt idx="9">
                  <c:v>1.8327970701499998</c:v>
                </c:pt>
                <c:pt idx="10">
                  <c:v>2.1021702629499996</c:v>
                </c:pt>
                <c:pt idx="11">
                  <c:v>2.3595285781499999</c:v>
                </c:pt>
                <c:pt idx="12">
                  <c:v>2.6556713508499996</c:v>
                </c:pt>
                <c:pt idx="13">
                  <c:v>3.1574411910499993</c:v>
                </c:pt>
                <c:pt idx="14">
                  <c:v>3.4291308390499999</c:v>
                </c:pt>
                <c:pt idx="15">
                  <c:v>3.8558754260499999</c:v>
                </c:pt>
                <c:pt idx="16">
                  <c:v>4.0088501842500008</c:v>
                </c:pt>
                <c:pt idx="17">
                  <c:v>3.9857378394499996</c:v>
                </c:pt>
                <c:pt idx="18">
                  <c:v>3.9241642738499998</c:v>
                </c:pt>
                <c:pt idx="19">
                  <c:v>3.8167267412499992</c:v>
                </c:pt>
                <c:pt idx="20">
                  <c:v>3.6684080811499999</c:v>
                </c:pt>
                <c:pt idx="21">
                  <c:v>3.3482122130500009</c:v>
                </c:pt>
                <c:pt idx="22">
                  <c:v>3.1765586868500009</c:v>
                </c:pt>
                <c:pt idx="23">
                  <c:v>3.3369855890500002</c:v>
                </c:pt>
                <c:pt idx="24">
                  <c:v>3.5321007953500008</c:v>
                </c:pt>
                <c:pt idx="25">
                  <c:v>3.6579375317500009</c:v>
                </c:pt>
                <c:pt idx="26">
                  <c:v>3.8599072194499993</c:v>
                </c:pt>
                <c:pt idx="27">
                  <c:v>4.4597568934500007</c:v>
                </c:pt>
                <c:pt idx="28">
                  <c:v>4.7671903174499999</c:v>
                </c:pt>
                <c:pt idx="29">
                  <c:v>5.2419617614499998</c:v>
                </c:pt>
              </c:numCache>
            </c:numRef>
          </c:val>
          <c:extLst xmlns:c16r2="http://schemas.microsoft.com/office/drawing/2015/06/chart">
            <c:ext xmlns:c16="http://schemas.microsoft.com/office/drawing/2014/chart" uri="{C3380CC4-5D6E-409C-BE32-E72D297353CC}">
              <c16:uniqueId val="{00000003-843F-4868-B108-F7A753C825FB}"/>
            </c:ext>
          </c:extLst>
        </c:ser>
        <c:ser>
          <c:idx val="5"/>
          <c:order val="5"/>
          <c:tx>
            <c:strRef>
              <c:f>Q!$M$87</c:f>
              <c:strCache>
                <c:ptCount val="1"/>
                <c:pt idx="0">
                  <c:v>Венесуэла</c:v>
                </c:pt>
              </c:strCache>
            </c:strRef>
          </c:tx>
          <c:spPr>
            <a:solidFill>
              <a:schemeClr val="accent6">
                <a:lumMod val="75000"/>
              </a:schemeClr>
            </a:solidFill>
          </c:spPr>
          <c:invertIfNegative val="0"/>
          <c:cat>
            <c:strRef>
              <c:f>Q!$I$88:$I$117</c:f>
              <c:strCache>
                <c:ptCount val="30"/>
                <c:pt idx="0">
                  <c:v>1кв11</c:v>
                </c:pt>
                <c:pt idx="1">
                  <c:v>2кв11</c:v>
                </c:pt>
                <c:pt idx="2">
                  <c:v>3кв11</c:v>
                </c:pt>
                <c:pt idx="3">
                  <c:v>4кв11</c:v>
                </c:pt>
                <c:pt idx="4">
                  <c:v>1кв12</c:v>
                </c:pt>
                <c:pt idx="5">
                  <c:v>2кв12</c:v>
                </c:pt>
                <c:pt idx="6">
                  <c:v>3кв12</c:v>
                </c:pt>
                <c:pt idx="7">
                  <c:v>4кв12</c:v>
                </c:pt>
                <c:pt idx="8">
                  <c:v>1кв13</c:v>
                </c:pt>
                <c:pt idx="9">
                  <c:v>2кв13</c:v>
                </c:pt>
                <c:pt idx="10">
                  <c:v>3кв13</c:v>
                </c:pt>
                <c:pt idx="11">
                  <c:v>4кв13</c:v>
                </c:pt>
                <c:pt idx="12">
                  <c:v>1кв14</c:v>
                </c:pt>
                <c:pt idx="13">
                  <c:v>2кв14</c:v>
                </c:pt>
                <c:pt idx="14">
                  <c:v>3кв14</c:v>
                </c:pt>
                <c:pt idx="15">
                  <c:v>4кв14</c:v>
                </c:pt>
                <c:pt idx="16">
                  <c:v>1кв15</c:v>
                </c:pt>
                <c:pt idx="17">
                  <c:v>2кв15</c:v>
                </c:pt>
                <c:pt idx="18">
                  <c:v>3кв15</c:v>
                </c:pt>
                <c:pt idx="19">
                  <c:v>4кв15</c:v>
                </c:pt>
                <c:pt idx="20">
                  <c:v>1кв16</c:v>
                </c:pt>
                <c:pt idx="21">
                  <c:v>2кв16</c:v>
                </c:pt>
                <c:pt idx="22">
                  <c:v>3кв16</c:v>
                </c:pt>
                <c:pt idx="23">
                  <c:v>4кв16</c:v>
                </c:pt>
                <c:pt idx="24">
                  <c:v>1кв17</c:v>
                </c:pt>
                <c:pt idx="25">
                  <c:v>2кв17</c:v>
                </c:pt>
                <c:pt idx="26">
                  <c:v>3кв17</c:v>
                </c:pt>
                <c:pt idx="27">
                  <c:v>4кв17</c:v>
                </c:pt>
                <c:pt idx="28">
                  <c:v>1кв18</c:v>
                </c:pt>
                <c:pt idx="29">
                  <c:v>июн'18</c:v>
                </c:pt>
              </c:strCache>
            </c:strRef>
          </c:cat>
          <c:val>
            <c:numRef>
              <c:f>Q!$M$88:$M$117</c:f>
              <c:numCache>
                <c:formatCode>0.00</c:formatCode>
                <c:ptCount val="30"/>
                <c:pt idx="0">
                  <c:v>0.10000000000000009</c:v>
                </c:pt>
                <c:pt idx="1">
                  <c:v>0.10000000000000009</c:v>
                </c:pt>
                <c:pt idx="2">
                  <c:v>0.10000000000000009</c:v>
                </c:pt>
                <c:pt idx="3">
                  <c:v>0.10000000000000009</c:v>
                </c:pt>
                <c:pt idx="4">
                  <c:v>0.10000000000000009</c:v>
                </c:pt>
                <c:pt idx="5">
                  <c:v>0.10000000000000009</c:v>
                </c:pt>
                <c:pt idx="6">
                  <c:v>0.10000000000000009</c:v>
                </c:pt>
                <c:pt idx="7">
                  <c:v>0.10000000000000009</c:v>
                </c:pt>
                <c:pt idx="8">
                  <c:v>0.10000000000000009</c:v>
                </c:pt>
                <c:pt idx="9">
                  <c:v>0.10000000000000009</c:v>
                </c:pt>
                <c:pt idx="10">
                  <c:v>0.10000000000000009</c:v>
                </c:pt>
                <c:pt idx="11">
                  <c:v>0.10000000000000009</c:v>
                </c:pt>
                <c:pt idx="12">
                  <c:v>0.10000000000000009</c:v>
                </c:pt>
                <c:pt idx="13">
                  <c:v>0.10000000000000009</c:v>
                </c:pt>
                <c:pt idx="14">
                  <c:v>0.10000000000000009</c:v>
                </c:pt>
                <c:pt idx="15">
                  <c:v>0.10000000000000009</c:v>
                </c:pt>
                <c:pt idx="16">
                  <c:v>0.10000000000000009</c:v>
                </c:pt>
                <c:pt idx="17">
                  <c:v>0.10000000000000009</c:v>
                </c:pt>
                <c:pt idx="18">
                  <c:v>0.10000000000000009</c:v>
                </c:pt>
                <c:pt idx="19">
                  <c:v>0.10000000000000009</c:v>
                </c:pt>
                <c:pt idx="20">
                  <c:v>0</c:v>
                </c:pt>
                <c:pt idx="21">
                  <c:v>-7.3626373599999795E-2</c:v>
                </c:pt>
                <c:pt idx="22">
                  <c:v>-0.18989130429999967</c:v>
                </c:pt>
                <c:pt idx="23">
                  <c:v>-0.22673913039999993</c:v>
                </c:pt>
                <c:pt idx="24">
                  <c:v>-0.30655555559999992</c:v>
                </c:pt>
                <c:pt idx="25">
                  <c:v>-0.3265934065999998</c:v>
                </c:pt>
                <c:pt idx="26">
                  <c:v>-0.34820652169999988</c:v>
                </c:pt>
                <c:pt idx="27">
                  <c:v>-0.51706521739999989</c:v>
                </c:pt>
                <c:pt idx="28">
                  <c:v>-0.73238888889999987</c:v>
                </c:pt>
                <c:pt idx="29">
                  <c:v>-0.91999999999999993</c:v>
                </c:pt>
              </c:numCache>
            </c:numRef>
          </c:val>
          <c:extLst xmlns:c16r2="http://schemas.microsoft.com/office/drawing/2015/06/chart">
            <c:ext xmlns:c16="http://schemas.microsoft.com/office/drawing/2014/chart" uri="{C3380CC4-5D6E-409C-BE32-E72D297353CC}">
              <c16:uniqueId val="{00000004-843F-4868-B108-F7A753C825FB}"/>
            </c:ext>
          </c:extLst>
        </c:ser>
        <c:dLbls>
          <c:showLegendKey val="0"/>
          <c:showVal val="0"/>
          <c:showCatName val="0"/>
          <c:showSerName val="0"/>
          <c:showPercent val="0"/>
          <c:showBubbleSize val="0"/>
        </c:dLbls>
        <c:gapWidth val="40"/>
        <c:overlap val="100"/>
        <c:axId val="129230336"/>
        <c:axId val="48399488"/>
      </c:barChart>
      <c:lineChart>
        <c:grouping val="standard"/>
        <c:varyColors val="0"/>
        <c:ser>
          <c:idx val="4"/>
          <c:order val="4"/>
          <c:tx>
            <c:strRef>
              <c:f>Q!$O$87</c:f>
              <c:strCache>
                <c:ptCount val="1"/>
                <c:pt idx="0">
                  <c:v>общ.итог</c:v>
                </c:pt>
              </c:strCache>
            </c:strRef>
          </c:tx>
          <c:spPr>
            <a:ln w="28575">
              <a:solidFill>
                <a:schemeClr val="tx1"/>
              </a:solidFill>
            </a:ln>
          </c:spPr>
          <c:marker>
            <c:symbol val="none"/>
          </c:marker>
          <c:val>
            <c:numRef>
              <c:f>Q!$O$88:$O$117</c:f>
              <c:numCache>
                <c:formatCode>0.00</c:formatCode>
                <c:ptCount val="30"/>
                <c:pt idx="0">
                  <c:v>-0.47031767724999951</c:v>
                </c:pt>
                <c:pt idx="1">
                  <c:v>-1.3165975767199991</c:v>
                </c:pt>
                <c:pt idx="2">
                  <c:v>-1.4587905435240003</c:v>
                </c:pt>
                <c:pt idx="3">
                  <c:v>-0.80723422834999981</c:v>
                </c:pt>
                <c:pt idx="4">
                  <c:v>-1.7916755500000381E-3</c:v>
                </c:pt>
                <c:pt idx="5">
                  <c:v>5.5817225450000674E-2</c:v>
                </c:pt>
                <c:pt idx="6">
                  <c:v>-9.6350913149999995E-2</c:v>
                </c:pt>
                <c:pt idx="7">
                  <c:v>0.24171616315000022</c:v>
                </c:pt>
                <c:pt idx="8">
                  <c:v>0.22692861155000066</c:v>
                </c:pt>
                <c:pt idx="9">
                  <c:v>0.28518741225000022</c:v>
                </c:pt>
                <c:pt idx="10">
                  <c:v>-7.8234130400001156E-3</c:v>
                </c:pt>
                <c:pt idx="11">
                  <c:v>-0.17086727186000017</c:v>
                </c:pt>
                <c:pt idx="12">
                  <c:v>0.38130980044999951</c:v>
                </c:pt>
                <c:pt idx="13">
                  <c:v>0.72865570899999943</c:v>
                </c:pt>
                <c:pt idx="14">
                  <c:v>1.2970175978</c:v>
                </c:pt>
                <c:pt idx="15">
                  <c:v>1.88597957615</c:v>
                </c:pt>
                <c:pt idx="16">
                  <c:v>1.6424997449100007</c:v>
                </c:pt>
                <c:pt idx="17">
                  <c:v>1.5842600496799997</c:v>
                </c:pt>
                <c:pt idx="18">
                  <c:v>1.5289423369699997</c:v>
                </c:pt>
                <c:pt idx="19">
                  <c:v>1.4511678478099994</c:v>
                </c:pt>
                <c:pt idx="20">
                  <c:v>1.55120501673</c:v>
                </c:pt>
                <c:pt idx="21">
                  <c:v>1.1943058519200012</c:v>
                </c:pt>
                <c:pt idx="22">
                  <c:v>0.77466283695000149</c:v>
                </c:pt>
                <c:pt idx="23">
                  <c:v>1.4012853913700005</c:v>
                </c:pt>
                <c:pt idx="24">
                  <c:v>1.6179392448600012</c:v>
                </c:pt>
                <c:pt idx="25">
                  <c:v>1.9090421595600011</c:v>
                </c:pt>
                <c:pt idx="26">
                  <c:v>2.5199135435299995</c:v>
                </c:pt>
                <c:pt idx="27">
                  <c:v>3.0157414783100007</c:v>
                </c:pt>
                <c:pt idx="28">
                  <c:v>3.1365843225400001</c:v>
                </c:pt>
                <c:pt idx="29">
                  <c:v>2.9670224332499999</c:v>
                </c:pt>
              </c:numCache>
            </c:numRef>
          </c:val>
          <c:smooth val="0"/>
          <c:extLst xmlns:c16r2="http://schemas.microsoft.com/office/drawing/2015/06/chart">
            <c:ext xmlns:c16="http://schemas.microsoft.com/office/drawing/2014/chart" uri="{C3380CC4-5D6E-409C-BE32-E72D297353CC}">
              <c16:uniqueId val="{00000005-843F-4868-B108-F7A753C825FB}"/>
            </c:ext>
          </c:extLst>
        </c:ser>
        <c:dLbls>
          <c:showLegendKey val="0"/>
          <c:showVal val="0"/>
          <c:showCatName val="0"/>
          <c:showSerName val="0"/>
          <c:showPercent val="0"/>
          <c:showBubbleSize val="0"/>
        </c:dLbls>
        <c:marker val="1"/>
        <c:smooth val="0"/>
        <c:axId val="129230336"/>
        <c:axId val="48399488"/>
      </c:lineChart>
      <c:catAx>
        <c:axId val="129230336"/>
        <c:scaling>
          <c:orientation val="minMax"/>
        </c:scaling>
        <c:delete val="0"/>
        <c:axPos val="b"/>
        <c:numFmt formatCode="General" sourceLinked="0"/>
        <c:majorTickMark val="out"/>
        <c:minorTickMark val="none"/>
        <c:tickLblPos val="low"/>
        <c:spPr>
          <a:ln w="9525" cap="flat" cmpd="sng" algn="ctr">
            <a:solidFill>
              <a:sysClr val="windowText" lastClr="000000">
                <a:lumMod val="100000"/>
              </a:sysClr>
            </a:solidFill>
            <a:prstDash val="solid"/>
            <a:round/>
            <a:headEnd type="none" w="med" len="med"/>
            <a:tailEnd type="none" w="med" len="med"/>
          </a:ln>
        </c:spPr>
        <c:txPr>
          <a:bodyPr rot="-5400000" vert="horz"/>
          <a:lstStyle/>
          <a:p>
            <a:pPr>
              <a:defRPr/>
            </a:pPr>
            <a:endParaRPr lang="ru-RU"/>
          </a:p>
        </c:txPr>
        <c:crossAx val="48399488"/>
        <c:crosses val="autoZero"/>
        <c:auto val="1"/>
        <c:lblAlgn val="ctr"/>
        <c:lblOffset val="100"/>
        <c:tickLblSkip val="2"/>
        <c:noMultiLvlLbl val="0"/>
      </c:catAx>
      <c:valAx>
        <c:axId val="48399488"/>
        <c:scaling>
          <c:orientation val="minMax"/>
          <c:max val="5"/>
          <c:min val="-3"/>
        </c:scaling>
        <c:delete val="0"/>
        <c:axPos val="l"/>
        <c:title>
          <c:tx>
            <c:rich>
              <a:bodyPr rot="-5400000" vert="horz"/>
              <a:lstStyle/>
              <a:p>
                <a:pPr>
                  <a:defRPr b="0" i="1"/>
                </a:pPr>
                <a:r>
                  <a:rPr lang="ru-RU" b="0" i="1"/>
                  <a:t>млн барр. в сутки</a:t>
                </a:r>
              </a:p>
            </c:rich>
          </c:tx>
          <c:layout>
            <c:manualLayout>
              <c:xMode val="edge"/>
              <c:yMode val="edge"/>
              <c:x val="0"/>
              <c:y val="8.9767104235123317E-3"/>
            </c:manualLayout>
          </c:layout>
          <c:overlay val="0"/>
        </c:title>
        <c:numFmt formatCode="0" sourceLinked="0"/>
        <c:majorTickMark val="out"/>
        <c:minorTickMark val="none"/>
        <c:tickLblPos val="nextTo"/>
        <c:spPr>
          <a:ln w="9525" cap="flat" cmpd="sng" algn="ctr">
            <a:solidFill>
              <a:sysClr val="windowText" lastClr="000000">
                <a:lumMod val="100000"/>
              </a:sysClr>
            </a:solidFill>
            <a:prstDash val="solid"/>
            <a:round/>
            <a:headEnd type="none" w="med" len="med"/>
            <a:tailEnd type="none" w="med" len="med"/>
          </a:ln>
        </c:spPr>
        <c:crossAx val="129230336"/>
        <c:crosses val="autoZero"/>
        <c:crossBetween val="between"/>
      </c:valAx>
    </c:plotArea>
    <c:legend>
      <c:legendPos val="b"/>
      <c:layout>
        <c:manualLayout>
          <c:xMode val="edge"/>
          <c:yMode val="edge"/>
          <c:x val="0"/>
          <c:y val="0.87278944298629335"/>
          <c:w val="0.99191666666666667"/>
          <c:h val="0.12721055701370662"/>
        </c:manualLayout>
      </c:layout>
      <c:overlay val="0"/>
    </c:legend>
    <c:plotVisOnly val="1"/>
    <c:dispBlanksAs val="gap"/>
    <c:showDLblsOverMax val="0"/>
  </c:chart>
  <c:spPr>
    <a:ln w="9525">
      <a:noFill/>
    </a:ln>
  </c:spPr>
  <c:txPr>
    <a:bodyPr/>
    <a:lstStyle/>
    <a:p>
      <a:pPr>
        <a:defRPr sz="1000">
          <a:latin typeface="Century" panose="02040604050505020304" pitchFamily="18" charset="0"/>
        </a:defRPr>
      </a:pPr>
      <a:endParaRPr lang="ru-RU"/>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026992818791"/>
          <c:y val="2.4661056512641499E-2"/>
          <c:w val="0.85792237899196599"/>
          <c:h val="0.87995362174720004"/>
        </c:manualLayout>
      </c:layout>
      <c:scatterChart>
        <c:scatterStyle val="lineMarker"/>
        <c:varyColors val="0"/>
        <c:ser>
          <c:idx val="0"/>
          <c:order val="0"/>
          <c:spPr>
            <a:ln w="28575">
              <a:noFill/>
            </a:ln>
          </c:spPr>
          <c:marker>
            <c:symbol val="circle"/>
            <c:size val="4"/>
            <c:spPr>
              <a:solidFill>
                <a:srgbClr val="00B050"/>
              </a:solidFill>
              <a:ln>
                <a:noFill/>
              </a:ln>
            </c:spPr>
          </c:marker>
          <c:dPt>
            <c:idx val="23"/>
            <c:marker>
              <c:spPr>
                <a:solidFill>
                  <a:schemeClr val="tx1"/>
                </a:solidFill>
                <a:ln>
                  <a:noFill/>
                </a:ln>
              </c:spPr>
            </c:marker>
            <c:bubble3D val="0"/>
            <c:extLst xmlns:c16r2="http://schemas.microsoft.com/office/drawing/2015/06/chart">
              <c:ext xmlns:c16="http://schemas.microsoft.com/office/drawing/2014/chart" uri="{C3380CC4-5D6E-409C-BE32-E72D297353CC}">
                <c16:uniqueId val="{00000000-A065-4933-8FA8-CCF8FDC70870}"/>
              </c:ext>
            </c:extLst>
          </c:dPt>
          <c:dPt>
            <c:idx val="47"/>
            <c:marker>
              <c:spPr>
                <a:noFill/>
                <a:ln>
                  <a:noFill/>
                </a:ln>
              </c:spPr>
            </c:marker>
            <c:bubble3D val="0"/>
            <c:extLst xmlns:c16r2="http://schemas.microsoft.com/office/drawing/2015/06/chart">
              <c:ext xmlns:c16="http://schemas.microsoft.com/office/drawing/2014/chart" uri="{C3380CC4-5D6E-409C-BE32-E72D297353CC}">
                <c16:uniqueId val="{00000001-A065-4933-8FA8-CCF8FDC70870}"/>
              </c:ext>
            </c:extLst>
          </c:dPt>
          <c:dPt>
            <c:idx val="48"/>
            <c:marker>
              <c:spPr>
                <a:noFill/>
                <a:ln>
                  <a:noFill/>
                </a:ln>
              </c:spPr>
            </c:marker>
            <c:bubble3D val="0"/>
            <c:extLst xmlns:c16r2="http://schemas.microsoft.com/office/drawing/2015/06/chart">
              <c:ext xmlns:c16="http://schemas.microsoft.com/office/drawing/2014/chart" uri="{C3380CC4-5D6E-409C-BE32-E72D297353CC}">
                <c16:uniqueId val="{00000002-A065-4933-8FA8-CCF8FDC70870}"/>
              </c:ext>
            </c:extLst>
          </c:dPt>
          <c:dLbls>
            <c:dLbl>
              <c:idx val="0"/>
              <c:layout>
                <c:manualLayout>
                  <c:x val="-4.3889987393923698E-2"/>
                  <c:y val="2.6195159299570302E-2"/>
                </c:manualLayout>
              </c:layout>
              <c:tx>
                <c:rich>
                  <a:bodyPr/>
                  <a:lstStyle/>
                  <a:p>
                    <a:r>
                      <a:rPr lang="ru-RU" sz="600" dirty="0"/>
                      <a:t>Китай</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065-4933-8FA8-CCF8FDC70870}"/>
                </c:ext>
              </c:extLst>
            </c:dLbl>
            <c:dLbl>
              <c:idx val="2"/>
              <c:tx>
                <c:rich>
                  <a:bodyPr/>
                  <a:lstStyle/>
                  <a:p>
                    <a:r>
                      <a:rPr lang="ru-RU" sz="900" dirty="0"/>
                      <a:t>Корея</a:t>
                    </a:r>
                    <a:endParaRPr lang="ru-RU" dirty="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065-4933-8FA8-CCF8FDC70870}"/>
                </c:ext>
              </c:extLst>
            </c:dLbl>
            <c:dLbl>
              <c:idx val="3"/>
              <c:layout>
                <c:manualLayout>
                  <c:x val="-6.4185655625065396E-2"/>
                  <c:y val="-4.5582837099274E-2"/>
                </c:manualLayout>
              </c:layout>
              <c:tx>
                <c:rich>
                  <a:bodyPr/>
                  <a:lstStyle/>
                  <a:p>
                    <a:r>
                      <a:rPr lang="ru-RU" sz="600" dirty="0"/>
                      <a:t>Сингапур</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065-4933-8FA8-CCF8FDC70870}"/>
                </c:ext>
              </c:extLst>
            </c:dLbl>
            <c:dLbl>
              <c:idx val="4"/>
              <c:layout>
                <c:manualLayout>
                  <c:x val="-6.1129195833395499E-3"/>
                  <c:y val="1.24316828452565E-2"/>
                </c:manualLayout>
              </c:layout>
              <c:tx>
                <c:rich>
                  <a:bodyPr/>
                  <a:lstStyle/>
                  <a:p>
                    <a:r>
                      <a:rPr lang="ru-RU" sz="600" dirty="0"/>
                      <a:t>Индонезия</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065-4933-8FA8-CCF8FDC70870}"/>
                </c:ext>
              </c:extLst>
            </c:dLbl>
            <c:dLbl>
              <c:idx val="5"/>
              <c:layout>
                <c:manualLayout>
                  <c:x val="-6.4185655625065396E-2"/>
                  <c:y val="-3.7295048535769697E-2"/>
                </c:manualLayout>
              </c:layout>
              <c:tx>
                <c:rich>
                  <a:bodyPr/>
                  <a:lstStyle/>
                  <a:p>
                    <a:r>
                      <a:rPr lang="ru-RU" sz="600" dirty="0"/>
                      <a:t>Тайланд</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065-4933-8FA8-CCF8FDC70870}"/>
                </c:ext>
              </c:extLst>
            </c:dLbl>
            <c:dLbl>
              <c:idx val="8"/>
              <c:layout>
                <c:manualLayout>
                  <c:x val="-7.3355035000074606E-2"/>
                  <c:y val="-3.7295048535769697E-2"/>
                </c:manualLayout>
              </c:layout>
              <c:tx>
                <c:rich>
                  <a:bodyPr/>
                  <a:lstStyle/>
                  <a:p>
                    <a:r>
                      <a:rPr lang="ru-RU" sz="600" dirty="0"/>
                      <a:t>Индия</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065-4933-8FA8-CCF8FDC70870}"/>
                </c:ext>
              </c:extLst>
            </c:dLbl>
            <c:dLbl>
              <c:idx val="23"/>
              <c:layout>
                <c:manualLayout>
                  <c:x val="-4.4568142196115698E-2"/>
                  <c:y val="-5.8352283131627602E-2"/>
                </c:manualLayout>
              </c:layout>
              <c:tx>
                <c:rich>
                  <a:bodyPr/>
                  <a:lstStyle/>
                  <a:p>
                    <a:pPr>
                      <a:defRPr sz="600" b="1"/>
                    </a:pPr>
                    <a:r>
                      <a:rPr lang="ru-RU" sz="600" b="1" dirty="0"/>
                      <a:t>Россия (средняя)</a:t>
                    </a:r>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065-4933-8FA8-CCF8FDC70870}"/>
                </c:ext>
              </c:extLst>
            </c:dLbl>
            <c:dLbl>
              <c:idx val="45"/>
              <c:layout>
                <c:manualLayout>
                  <c:x val="1.2313774283037799E-2"/>
                  <c:y val="-1.0076768438784699E-2"/>
                </c:manualLayout>
              </c:layout>
              <c:tx>
                <c:rich>
                  <a:bodyPr/>
                  <a:lstStyle/>
                  <a:p>
                    <a:r>
                      <a:rPr lang="ru-RU" sz="600" dirty="0"/>
                      <a:t>Бразилия</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065-4933-8FA8-CCF8FDC70870}"/>
                </c:ext>
              </c:extLst>
            </c:dLbl>
            <c:dLbl>
              <c:idx val="46"/>
              <c:layout>
                <c:manualLayout>
                  <c:x val="-0.12837131125013099"/>
                  <c:y val="-2.48633656905131E-2"/>
                </c:manualLayout>
              </c:layout>
              <c:tx>
                <c:rich>
                  <a:bodyPr/>
                  <a:lstStyle/>
                  <a:p>
                    <a:r>
                      <a:rPr lang="ru-RU" sz="600" dirty="0"/>
                      <a:t>ЮАР</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A065-4933-8FA8-CCF8FDC70870}"/>
                </c:ext>
              </c:extLst>
            </c:dLbl>
            <c:spPr>
              <a:noFill/>
              <a:ln>
                <a:noFill/>
              </a:ln>
              <a:effectLst/>
            </c:spPr>
            <c:txPr>
              <a:bodyPr/>
              <a:lstStyle/>
              <a:p>
                <a:pPr>
                  <a:defRPr sz="600"/>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xVal>
            <c:numRef>
              <c:f>[Книга1.xlsx]Лист7!$B$2:$B$51</c:f>
              <c:numCache>
                <c:formatCode>0.0%</c:formatCode>
                <c:ptCount val="50"/>
                <c:pt idx="0">
                  <c:v>0.39513558823529399</c:v>
                </c:pt>
                <c:pt idx="1">
                  <c:v>0.34331</c:v>
                </c:pt>
                <c:pt idx="2">
                  <c:v>0.33592176470588297</c:v>
                </c:pt>
                <c:pt idx="3">
                  <c:v>0.32598176470588203</c:v>
                </c:pt>
                <c:pt idx="4">
                  <c:v>0.32544294117647099</c:v>
                </c:pt>
                <c:pt idx="5">
                  <c:v>0.30100545454545402</c:v>
                </c:pt>
                <c:pt idx="6">
                  <c:v>0.29669382352941198</c:v>
                </c:pt>
                <c:pt idx="7">
                  <c:v>0.2966375</c:v>
                </c:pt>
                <c:pt idx="8">
                  <c:v>0.27130235294117599</c:v>
                </c:pt>
                <c:pt idx="9">
                  <c:v>0.26747205882352898</c:v>
                </c:pt>
                <c:pt idx="10">
                  <c:v>0.26438794117647102</c:v>
                </c:pt>
                <c:pt idx="11">
                  <c:v>0.26398391304347801</c:v>
                </c:pt>
                <c:pt idx="12">
                  <c:v>0.263788529411765</c:v>
                </c:pt>
                <c:pt idx="13">
                  <c:v>0.26115411764705898</c:v>
                </c:pt>
                <c:pt idx="14">
                  <c:v>0.259715588235294</c:v>
                </c:pt>
                <c:pt idx="15">
                  <c:v>0.257186176470588</c:v>
                </c:pt>
                <c:pt idx="16">
                  <c:v>0.25455176470588198</c:v>
                </c:pt>
                <c:pt idx="17">
                  <c:v>0.25355823529411797</c:v>
                </c:pt>
                <c:pt idx="18">
                  <c:v>0.25325323529411797</c:v>
                </c:pt>
                <c:pt idx="19">
                  <c:v>0.25042764705882398</c:v>
                </c:pt>
                <c:pt idx="20">
                  <c:v>0.24959558823529401</c:v>
                </c:pt>
                <c:pt idx="21">
                  <c:v>0.248512058823529</c:v>
                </c:pt>
                <c:pt idx="22">
                  <c:v>0.23776264705882399</c:v>
                </c:pt>
                <c:pt idx="23">
                  <c:v>0.2347456</c:v>
                </c:pt>
                <c:pt idx="24">
                  <c:v>0.23134058823529399</c:v>
                </c:pt>
                <c:pt idx="25">
                  <c:v>0.23027</c:v>
                </c:pt>
                <c:pt idx="26">
                  <c:v>0.22756117647058799</c:v>
                </c:pt>
                <c:pt idx="27">
                  <c:v>0.22711117647058801</c:v>
                </c:pt>
                <c:pt idx="28">
                  <c:v>0.22573588235294101</c:v>
                </c:pt>
                <c:pt idx="29">
                  <c:v>0.225207941176471</c:v>
                </c:pt>
                <c:pt idx="30">
                  <c:v>0.22245382352941201</c:v>
                </c:pt>
                <c:pt idx="31">
                  <c:v>0.220040294117647</c:v>
                </c:pt>
                <c:pt idx="32">
                  <c:v>0.218400294117647</c:v>
                </c:pt>
                <c:pt idx="33">
                  <c:v>0.218210882352941</c:v>
                </c:pt>
                <c:pt idx="34">
                  <c:v>0.21798774193548401</c:v>
                </c:pt>
                <c:pt idx="35">
                  <c:v>0.21719588235294099</c:v>
                </c:pt>
                <c:pt idx="36">
                  <c:v>0.217051764705882</c:v>
                </c:pt>
                <c:pt idx="37">
                  <c:v>0.21620705882353</c:v>
                </c:pt>
                <c:pt idx="38">
                  <c:v>0.214497941176471</c:v>
                </c:pt>
                <c:pt idx="39">
                  <c:v>0.21108264705882401</c:v>
                </c:pt>
                <c:pt idx="40">
                  <c:v>0.20962117647058801</c:v>
                </c:pt>
                <c:pt idx="41">
                  <c:v>0.20732088235294099</c:v>
                </c:pt>
                <c:pt idx="42">
                  <c:v>0.20513235294117599</c:v>
                </c:pt>
                <c:pt idx="43">
                  <c:v>0.20003911764705901</c:v>
                </c:pt>
                <c:pt idx="44">
                  <c:v>0.19893411764705901</c:v>
                </c:pt>
                <c:pt idx="45">
                  <c:v>0.19839058823529401</c:v>
                </c:pt>
                <c:pt idx="46">
                  <c:v>0.18816529411764699</c:v>
                </c:pt>
                <c:pt idx="47">
                  <c:v>0.185977058823529</c:v>
                </c:pt>
                <c:pt idx="48">
                  <c:v>0.17023588235294099</c:v>
                </c:pt>
                <c:pt idx="49">
                  <c:v>0.170045588235294</c:v>
                </c:pt>
              </c:numCache>
            </c:numRef>
          </c:xVal>
          <c:yVal>
            <c:numRef>
              <c:f>[Книга1.xlsx]Лист7!$C$2:$C$51</c:f>
              <c:numCache>
                <c:formatCode>0.0%</c:formatCode>
                <c:ptCount val="50"/>
                <c:pt idx="0">
                  <c:v>8.8092933856731406E-2</c:v>
                </c:pt>
                <c:pt idx="1">
                  <c:v>4.2520402323317497E-2</c:v>
                </c:pt>
                <c:pt idx="2">
                  <c:v>5.7784869703051502E-2</c:v>
                </c:pt>
                <c:pt idx="3">
                  <c:v>4.1100477072502299E-2</c:v>
                </c:pt>
                <c:pt idx="4">
                  <c:v>3.4754512170381897E-2</c:v>
                </c:pt>
                <c:pt idx="5">
                  <c:v>4.9470932016732298E-2</c:v>
                </c:pt>
                <c:pt idx="6">
                  <c:v>4.0652110800128899E-2</c:v>
                </c:pt>
                <c:pt idx="7">
                  <c:v>2.2133180516010102E-2</c:v>
                </c:pt>
                <c:pt idx="8">
                  <c:v>4.3645944258338197E-2</c:v>
                </c:pt>
                <c:pt idx="9">
                  <c:v>1.6974674966104299E-2</c:v>
                </c:pt>
                <c:pt idx="10">
                  <c:v>1.7952723795354099E-2</c:v>
                </c:pt>
                <c:pt idx="11">
                  <c:v>3.8736263591819198E-2</c:v>
                </c:pt>
                <c:pt idx="12">
                  <c:v>1.0049994170843001E-2</c:v>
                </c:pt>
                <c:pt idx="13">
                  <c:v>3.6289550267997801E-2</c:v>
                </c:pt>
                <c:pt idx="14">
                  <c:v>1.76132635524315E-2</c:v>
                </c:pt>
                <c:pt idx="15">
                  <c:v>1.85334123771227E-2</c:v>
                </c:pt>
                <c:pt idx="16">
                  <c:v>1.5906486481428301E-2</c:v>
                </c:pt>
                <c:pt idx="17">
                  <c:v>1.4825017886022701E-2</c:v>
                </c:pt>
                <c:pt idx="18">
                  <c:v>1.8148126165377702E-2</c:v>
                </c:pt>
                <c:pt idx="19">
                  <c:v>1.50058408895925E-2</c:v>
                </c:pt>
                <c:pt idx="20">
                  <c:v>2.3373104362323899E-2</c:v>
                </c:pt>
                <c:pt idx="21">
                  <c:v>1.6475704505468699E-2</c:v>
                </c:pt>
                <c:pt idx="22">
                  <c:v>5.4297121223366796E-3</c:v>
                </c:pt>
                <c:pt idx="23">
                  <c:v>2.0805460728791799E-2</c:v>
                </c:pt>
                <c:pt idx="24">
                  <c:v>1.6645795737870998E-2</c:v>
                </c:pt>
                <c:pt idx="25">
                  <c:v>3.1039793804662E-2</c:v>
                </c:pt>
                <c:pt idx="26">
                  <c:v>1.3640146619719899E-2</c:v>
                </c:pt>
                <c:pt idx="27">
                  <c:v>1.5492539155042701E-2</c:v>
                </c:pt>
                <c:pt idx="28">
                  <c:v>1.41234938769063E-2</c:v>
                </c:pt>
                <c:pt idx="29">
                  <c:v>1.31867306529774E-2</c:v>
                </c:pt>
                <c:pt idx="30">
                  <c:v>2.20685437665721E-2</c:v>
                </c:pt>
                <c:pt idx="31">
                  <c:v>1.28283005902261E-2</c:v>
                </c:pt>
                <c:pt idx="32">
                  <c:v>-1.65033840313248E-4</c:v>
                </c:pt>
                <c:pt idx="33">
                  <c:v>1.41221007730442E-2</c:v>
                </c:pt>
                <c:pt idx="34">
                  <c:v>2.4076039027706799E-2</c:v>
                </c:pt>
                <c:pt idx="35">
                  <c:v>1.7264487791678398E-2</c:v>
                </c:pt>
                <c:pt idx="36">
                  <c:v>1.5136822447277201E-2</c:v>
                </c:pt>
                <c:pt idx="37">
                  <c:v>2.9844060351084001E-2</c:v>
                </c:pt>
                <c:pt idx="38">
                  <c:v>9.1336595608054807E-3</c:v>
                </c:pt>
                <c:pt idx="39">
                  <c:v>2.5244241210213299E-2</c:v>
                </c:pt>
                <c:pt idx="40">
                  <c:v>9.6891042679502094E-3</c:v>
                </c:pt>
                <c:pt idx="41">
                  <c:v>1.3692125392013799E-2</c:v>
                </c:pt>
                <c:pt idx="42">
                  <c:v>1.98426234313781E-2</c:v>
                </c:pt>
                <c:pt idx="43">
                  <c:v>2.2908237956366199E-3</c:v>
                </c:pt>
                <c:pt idx="44">
                  <c:v>1.86111937526722E-2</c:v>
                </c:pt>
                <c:pt idx="45">
                  <c:v>9.7176718222331902E-3</c:v>
                </c:pt>
                <c:pt idx="46">
                  <c:v>3.98858653256261E-3</c:v>
                </c:pt>
                <c:pt idx="47">
                  <c:v>2.4854703558477801E-2</c:v>
                </c:pt>
                <c:pt idx="48">
                  <c:v>2.1767361974378601E-2</c:v>
                </c:pt>
                <c:pt idx="49">
                  <c:v>1.28786583210098E-2</c:v>
                </c:pt>
              </c:numCache>
            </c:numRef>
          </c:yVal>
          <c:smooth val="0"/>
          <c:extLst xmlns:c16r2="http://schemas.microsoft.com/office/drawing/2015/06/chart">
            <c:ext xmlns:c16="http://schemas.microsoft.com/office/drawing/2014/chart" uri="{C3380CC4-5D6E-409C-BE32-E72D297353CC}">
              <c16:uniqueId val="{0000000B-A065-4933-8FA8-CCF8FDC70870}"/>
            </c:ext>
          </c:extLst>
        </c:ser>
        <c:dLbls>
          <c:showLegendKey val="0"/>
          <c:showVal val="0"/>
          <c:showCatName val="0"/>
          <c:showSerName val="0"/>
          <c:showPercent val="0"/>
          <c:showBubbleSize val="0"/>
        </c:dLbls>
        <c:axId val="48403520"/>
        <c:axId val="48404096"/>
      </c:scatterChart>
      <c:valAx>
        <c:axId val="48403520"/>
        <c:scaling>
          <c:orientation val="minMax"/>
          <c:max val="0.4"/>
          <c:min val="0.15"/>
        </c:scaling>
        <c:delete val="0"/>
        <c:axPos val="b"/>
        <c:numFmt formatCode="0%" sourceLinked="0"/>
        <c:majorTickMark val="out"/>
        <c:minorTickMark val="none"/>
        <c:tickLblPos val="nextTo"/>
        <c:spPr>
          <a:ln>
            <a:solidFill>
              <a:srgbClr val="000000"/>
            </a:solidFill>
            <a:prstDash val="solid"/>
          </a:ln>
        </c:spPr>
        <c:txPr>
          <a:bodyPr rot="0" vert="horz"/>
          <a:lstStyle/>
          <a:p>
            <a:pPr>
              <a:defRPr/>
            </a:pPr>
            <a:endParaRPr lang="ru-RU"/>
          </a:p>
        </c:txPr>
        <c:crossAx val="48404096"/>
        <c:crosses val="autoZero"/>
        <c:crossBetween val="midCat"/>
      </c:valAx>
      <c:valAx>
        <c:axId val="48404096"/>
        <c:scaling>
          <c:orientation val="minMax"/>
          <c:max val="0.09"/>
          <c:min val="0"/>
        </c:scaling>
        <c:delete val="0"/>
        <c:axPos val="l"/>
        <c:numFmt formatCode="0%" sourceLinked="0"/>
        <c:majorTickMark val="out"/>
        <c:minorTickMark val="none"/>
        <c:tickLblPos val="nextTo"/>
        <c:spPr>
          <a:ln>
            <a:solidFill>
              <a:srgbClr val="000000"/>
            </a:solidFill>
            <a:prstDash val="solid"/>
          </a:ln>
        </c:spPr>
        <c:crossAx val="48403520"/>
        <c:crosses val="autoZero"/>
        <c:crossBetween val="midCat"/>
      </c:valAx>
      <c:spPr>
        <a:noFill/>
      </c:spPr>
    </c:plotArea>
    <c:plotVisOnly val="1"/>
    <c:dispBlanksAs val="gap"/>
    <c:showDLblsOverMax val="0"/>
  </c:chart>
  <c:spPr>
    <a:noFill/>
    <a:ln w="9525">
      <a:noFill/>
    </a:ln>
  </c:spPr>
  <c:txPr>
    <a:bodyPr/>
    <a:lstStyle/>
    <a:p>
      <a:pPr>
        <a:defRPr sz="600">
          <a:latin typeface="Century" pitchFamily="18" charset="0"/>
          <a:ea typeface="Tahoma" pitchFamily="34" charset="0"/>
          <a:cs typeface="Tahoma" pitchFamily="34" charset="0"/>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472464245710568"/>
          <c:y val="3.1824199099814668E-2"/>
          <c:w val="0.76640619668895205"/>
          <c:h val="0.79371496354853965"/>
        </c:manualLayout>
      </c:layout>
      <c:scatterChart>
        <c:scatterStyle val="lineMarker"/>
        <c:varyColors val="0"/>
        <c:ser>
          <c:idx val="1"/>
          <c:order val="0"/>
          <c:tx>
            <c:v>2014-янв'2017</c:v>
          </c:tx>
          <c:spPr>
            <a:ln w="9525">
              <a:noFill/>
            </a:ln>
          </c:spPr>
          <c:marker>
            <c:symbol val="circle"/>
            <c:size val="2"/>
            <c:spPr>
              <a:solidFill>
                <a:srgbClr val="EEECE1">
                  <a:lumMod val="75000"/>
                </a:srgbClr>
              </a:solidFill>
              <a:ln>
                <a:noFill/>
              </a:ln>
            </c:spPr>
          </c:marker>
          <c:xVal>
            <c:numRef>
              <c:f>'[monitor.xlsx]Лист1 (2)'!$C$1950:$C$2500</c:f>
              <c:numCache>
                <c:formatCode>General</c:formatCode>
                <c:ptCount val="551"/>
                <c:pt idx="0">
                  <c:v>82.16</c:v>
                </c:pt>
                <c:pt idx="1">
                  <c:v>82.38</c:v>
                </c:pt>
                <c:pt idx="2">
                  <c:v>82.38</c:v>
                </c:pt>
                <c:pt idx="3">
                  <c:v>80.34</c:v>
                </c:pt>
                <c:pt idx="4">
                  <c:v>78.849999999999994</c:v>
                </c:pt>
                <c:pt idx="5">
                  <c:v>76.239999999999995</c:v>
                </c:pt>
                <c:pt idx="6">
                  <c:v>78.260000000000005</c:v>
                </c:pt>
                <c:pt idx="7">
                  <c:v>78.260000000000005</c:v>
                </c:pt>
                <c:pt idx="8">
                  <c:v>76.849999999999994</c:v>
                </c:pt>
                <c:pt idx="9">
                  <c:v>76.599999999999994</c:v>
                </c:pt>
                <c:pt idx="10">
                  <c:v>78.53</c:v>
                </c:pt>
                <c:pt idx="11">
                  <c:v>79.2</c:v>
                </c:pt>
                <c:pt idx="12">
                  <c:v>79.2</c:v>
                </c:pt>
                <c:pt idx="13">
                  <c:v>76.959999999999994</c:v>
                </c:pt>
                <c:pt idx="14">
                  <c:v>76.349999999999994</c:v>
                </c:pt>
                <c:pt idx="15">
                  <c:v>71.72</c:v>
                </c:pt>
                <c:pt idx="16">
                  <c:v>68.989999999999995</c:v>
                </c:pt>
                <c:pt idx="17">
                  <c:v>68.989999999999995</c:v>
                </c:pt>
                <c:pt idx="18">
                  <c:v>70.64</c:v>
                </c:pt>
                <c:pt idx="19">
                  <c:v>69.72</c:v>
                </c:pt>
                <c:pt idx="20">
                  <c:v>69.010000000000005</c:v>
                </c:pt>
                <c:pt idx="21">
                  <c:v>68.22</c:v>
                </c:pt>
                <c:pt idx="22">
                  <c:v>68.22</c:v>
                </c:pt>
                <c:pt idx="23">
                  <c:v>65.95</c:v>
                </c:pt>
                <c:pt idx="24">
                  <c:v>63.73</c:v>
                </c:pt>
                <c:pt idx="25">
                  <c:v>62.78</c:v>
                </c:pt>
                <c:pt idx="26">
                  <c:v>61.09</c:v>
                </c:pt>
                <c:pt idx="27">
                  <c:v>61.09</c:v>
                </c:pt>
                <c:pt idx="28">
                  <c:v>59.17</c:v>
                </c:pt>
                <c:pt idx="29">
                  <c:v>59.89</c:v>
                </c:pt>
                <c:pt idx="30">
                  <c:v>59.21</c:v>
                </c:pt>
                <c:pt idx="31">
                  <c:v>61.25</c:v>
                </c:pt>
                <c:pt idx="32">
                  <c:v>61.25</c:v>
                </c:pt>
                <c:pt idx="33">
                  <c:v>59.67</c:v>
                </c:pt>
                <c:pt idx="34">
                  <c:v>58.48</c:v>
                </c:pt>
                <c:pt idx="35">
                  <c:v>58.48</c:v>
                </c:pt>
                <c:pt idx="36">
                  <c:v>57.83</c:v>
                </c:pt>
                <c:pt idx="37">
                  <c:v>57.83</c:v>
                </c:pt>
                <c:pt idx="38">
                  <c:v>55.81</c:v>
                </c:pt>
                <c:pt idx="39">
                  <c:v>55.76</c:v>
                </c:pt>
                <c:pt idx="40">
                  <c:v>55.76</c:v>
                </c:pt>
                <c:pt idx="41">
                  <c:v>46.33</c:v>
                </c:pt>
                <c:pt idx="42">
                  <c:v>47.63</c:v>
                </c:pt>
                <c:pt idx="43">
                  <c:v>46.33</c:v>
                </c:pt>
                <c:pt idx="44">
                  <c:v>47.69</c:v>
                </c:pt>
                <c:pt idx="45">
                  <c:v>47.69</c:v>
                </c:pt>
                <c:pt idx="46">
                  <c:v>45.47</c:v>
                </c:pt>
                <c:pt idx="47">
                  <c:v>46.2</c:v>
                </c:pt>
                <c:pt idx="48">
                  <c:v>46.52</c:v>
                </c:pt>
                <c:pt idx="49">
                  <c:v>45.89</c:v>
                </c:pt>
                <c:pt idx="50">
                  <c:v>45.89</c:v>
                </c:pt>
                <c:pt idx="51">
                  <c:v>46.54</c:v>
                </c:pt>
                <c:pt idx="52">
                  <c:v>46.26</c:v>
                </c:pt>
                <c:pt idx="53">
                  <c:v>46.85</c:v>
                </c:pt>
                <c:pt idx="54">
                  <c:v>50.77</c:v>
                </c:pt>
                <c:pt idx="55">
                  <c:v>50.77</c:v>
                </c:pt>
                <c:pt idx="56">
                  <c:v>55.59</c:v>
                </c:pt>
                <c:pt idx="57">
                  <c:v>53.17</c:v>
                </c:pt>
                <c:pt idx="58">
                  <c:v>56.05</c:v>
                </c:pt>
                <c:pt idx="59">
                  <c:v>57.52</c:v>
                </c:pt>
                <c:pt idx="60">
                  <c:v>57.52</c:v>
                </c:pt>
                <c:pt idx="61">
                  <c:v>56.29</c:v>
                </c:pt>
                <c:pt idx="62">
                  <c:v>54.23</c:v>
                </c:pt>
                <c:pt idx="63">
                  <c:v>57.04</c:v>
                </c:pt>
                <c:pt idx="64">
                  <c:v>59.41</c:v>
                </c:pt>
                <c:pt idx="65">
                  <c:v>59.41</c:v>
                </c:pt>
                <c:pt idx="66">
                  <c:v>61.23</c:v>
                </c:pt>
                <c:pt idx="67">
                  <c:v>58.53</c:v>
                </c:pt>
                <c:pt idx="68">
                  <c:v>59.34</c:v>
                </c:pt>
                <c:pt idx="69">
                  <c:v>59.79</c:v>
                </c:pt>
                <c:pt idx="70">
                  <c:v>59.79</c:v>
                </c:pt>
                <c:pt idx="71">
                  <c:v>61.3</c:v>
                </c:pt>
                <c:pt idx="72">
                  <c:v>59.69</c:v>
                </c:pt>
                <c:pt idx="73">
                  <c:v>61.81</c:v>
                </c:pt>
                <c:pt idx="74">
                  <c:v>61.81</c:v>
                </c:pt>
                <c:pt idx="75">
                  <c:v>61.03</c:v>
                </c:pt>
                <c:pt idx="76">
                  <c:v>60.11</c:v>
                </c:pt>
                <c:pt idx="77">
                  <c:v>60.12</c:v>
                </c:pt>
                <c:pt idx="78">
                  <c:v>59.35</c:v>
                </c:pt>
                <c:pt idx="79">
                  <c:v>59.35</c:v>
                </c:pt>
                <c:pt idx="80">
                  <c:v>57.18</c:v>
                </c:pt>
                <c:pt idx="81">
                  <c:v>56.34</c:v>
                </c:pt>
                <c:pt idx="82">
                  <c:v>53.83</c:v>
                </c:pt>
                <c:pt idx="83">
                  <c:v>53.83</c:v>
                </c:pt>
                <c:pt idx="84">
                  <c:v>51.33</c:v>
                </c:pt>
                <c:pt idx="85">
                  <c:v>54.29</c:v>
                </c:pt>
                <c:pt idx="86">
                  <c:v>52.44</c:v>
                </c:pt>
                <c:pt idx="87">
                  <c:v>53.19</c:v>
                </c:pt>
                <c:pt idx="88">
                  <c:v>53.19</c:v>
                </c:pt>
                <c:pt idx="89">
                  <c:v>53.22</c:v>
                </c:pt>
                <c:pt idx="90">
                  <c:v>54.36</c:v>
                </c:pt>
                <c:pt idx="91">
                  <c:v>56.84</c:v>
                </c:pt>
                <c:pt idx="92">
                  <c:v>54.36</c:v>
                </c:pt>
                <c:pt idx="93">
                  <c:v>54.36</c:v>
                </c:pt>
                <c:pt idx="94">
                  <c:v>53.34</c:v>
                </c:pt>
                <c:pt idx="95">
                  <c:v>55.81</c:v>
                </c:pt>
                <c:pt idx="96">
                  <c:v>54.23</c:v>
                </c:pt>
                <c:pt idx="97">
                  <c:v>54.26</c:v>
                </c:pt>
                <c:pt idx="98">
                  <c:v>54.26</c:v>
                </c:pt>
                <c:pt idx="99">
                  <c:v>57.83</c:v>
                </c:pt>
                <c:pt idx="100">
                  <c:v>55.27</c:v>
                </c:pt>
                <c:pt idx="101">
                  <c:v>55.82</c:v>
                </c:pt>
                <c:pt idx="102">
                  <c:v>57.34</c:v>
                </c:pt>
                <c:pt idx="103">
                  <c:v>57.34</c:v>
                </c:pt>
                <c:pt idx="104">
                  <c:v>57.59</c:v>
                </c:pt>
                <c:pt idx="105">
                  <c:v>60.2</c:v>
                </c:pt>
                <c:pt idx="106">
                  <c:v>62.16</c:v>
                </c:pt>
                <c:pt idx="107">
                  <c:v>61.21</c:v>
                </c:pt>
                <c:pt idx="108">
                  <c:v>61.21</c:v>
                </c:pt>
                <c:pt idx="109">
                  <c:v>59.32</c:v>
                </c:pt>
                <c:pt idx="110">
                  <c:v>60.54</c:v>
                </c:pt>
                <c:pt idx="111">
                  <c:v>62.62</c:v>
                </c:pt>
                <c:pt idx="112">
                  <c:v>63.63</c:v>
                </c:pt>
                <c:pt idx="113">
                  <c:v>63.63</c:v>
                </c:pt>
                <c:pt idx="114">
                  <c:v>62.67</c:v>
                </c:pt>
                <c:pt idx="115">
                  <c:v>63.66</c:v>
                </c:pt>
                <c:pt idx="116">
                  <c:v>64.86</c:v>
                </c:pt>
                <c:pt idx="117">
                  <c:v>65.400000000000006</c:v>
                </c:pt>
                <c:pt idx="118">
                  <c:v>66.22</c:v>
                </c:pt>
                <c:pt idx="119">
                  <c:v>64.150000000000006</c:v>
                </c:pt>
                <c:pt idx="120">
                  <c:v>64.31</c:v>
                </c:pt>
                <c:pt idx="121">
                  <c:v>64.31</c:v>
                </c:pt>
                <c:pt idx="122">
                  <c:v>65.83</c:v>
                </c:pt>
                <c:pt idx="123">
                  <c:v>65.739999999999995</c:v>
                </c:pt>
                <c:pt idx="124">
                  <c:v>65.790000000000006</c:v>
                </c:pt>
                <c:pt idx="125">
                  <c:v>65.790000000000006</c:v>
                </c:pt>
                <c:pt idx="126">
                  <c:v>63.16</c:v>
                </c:pt>
                <c:pt idx="127">
                  <c:v>63.66</c:v>
                </c:pt>
                <c:pt idx="128">
                  <c:v>65.39</c:v>
                </c:pt>
                <c:pt idx="129">
                  <c:v>64.78</c:v>
                </c:pt>
                <c:pt idx="130">
                  <c:v>64.78</c:v>
                </c:pt>
                <c:pt idx="131">
                  <c:v>62.49</c:v>
                </c:pt>
                <c:pt idx="132">
                  <c:v>61.1</c:v>
                </c:pt>
                <c:pt idx="133">
                  <c:v>61.31</c:v>
                </c:pt>
                <c:pt idx="134">
                  <c:v>63.89</c:v>
                </c:pt>
                <c:pt idx="135">
                  <c:v>63.89</c:v>
                </c:pt>
                <c:pt idx="136">
                  <c:v>64.41</c:v>
                </c:pt>
                <c:pt idx="137">
                  <c:v>62.66</c:v>
                </c:pt>
                <c:pt idx="138">
                  <c:v>61.03</c:v>
                </c:pt>
                <c:pt idx="139">
                  <c:v>62.18</c:v>
                </c:pt>
                <c:pt idx="140">
                  <c:v>62.18</c:v>
                </c:pt>
                <c:pt idx="141">
                  <c:v>64.23</c:v>
                </c:pt>
                <c:pt idx="142">
                  <c:v>64.59</c:v>
                </c:pt>
                <c:pt idx="143">
                  <c:v>63.78</c:v>
                </c:pt>
                <c:pt idx="144">
                  <c:v>62.69</c:v>
                </c:pt>
                <c:pt idx="145">
                  <c:v>62.1</c:v>
                </c:pt>
                <c:pt idx="146">
                  <c:v>61.51</c:v>
                </c:pt>
                <c:pt idx="147">
                  <c:v>62.92</c:v>
                </c:pt>
                <c:pt idx="148">
                  <c:v>60.78</c:v>
                </c:pt>
                <c:pt idx="149">
                  <c:v>60.78</c:v>
                </c:pt>
                <c:pt idx="150">
                  <c:v>62.39</c:v>
                </c:pt>
                <c:pt idx="151">
                  <c:v>62.08</c:v>
                </c:pt>
                <c:pt idx="152">
                  <c:v>62</c:v>
                </c:pt>
                <c:pt idx="153">
                  <c:v>61.35</c:v>
                </c:pt>
                <c:pt idx="154">
                  <c:v>61.35</c:v>
                </c:pt>
                <c:pt idx="155">
                  <c:v>61.36</c:v>
                </c:pt>
                <c:pt idx="156">
                  <c:v>60.88</c:v>
                </c:pt>
                <c:pt idx="157">
                  <c:v>60.78</c:v>
                </c:pt>
                <c:pt idx="158">
                  <c:v>59.53</c:v>
                </c:pt>
                <c:pt idx="159">
                  <c:v>59.53</c:v>
                </c:pt>
                <c:pt idx="160">
                  <c:v>56.46</c:v>
                </c:pt>
                <c:pt idx="161">
                  <c:v>56.29</c:v>
                </c:pt>
                <c:pt idx="162">
                  <c:v>57.65</c:v>
                </c:pt>
                <c:pt idx="163">
                  <c:v>58.05</c:v>
                </c:pt>
                <c:pt idx="164">
                  <c:v>58.05</c:v>
                </c:pt>
                <c:pt idx="165">
                  <c:v>57.73</c:v>
                </c:pt>
                <c:pt idx="166">
                  <c:v>56.26</c:v>
                </c:pt>
                <c:pt idx="167">
                  <c:v>56.45</c:v>
                </c:pt>
                <c:pt idx="168">
                  <c:v>56.34</c:v>
                </c:pt>
                <c:pt idx="169">
                  <c:v>56.34</c:v>
                </c:pt>
                <c:pt idx="170">
                  <c:v>56.11</c:v>
                </c:pt>
                <c:pt idx="171">
                  <c:v>55.37</c:v>
                </c:pt>
                <c:pt idx="172">
                  <c:v>54.58</c:v>
                </c:pt>
                <c:pt idx="173">
                  <c:v>53.81</c:v>
                </c:pt>
                <c:pt idx="174">
                  <c:v>53.81</c:v>
                </c:pt>
                <c:pt idx="175">
                  <c:v>52.26</c:v>
                </c:pt>
                <c:pt idx="176">
                  <c:v>52.7</c:v>
                </c:pt>
                <c:pt idx="177">
                  <c:v>52.39</c:v>
                </c:pt>
                <c:pt idx="178">
                  <c:v>50.57</c:v>
                </c:pt>
                <c:pt idx="179">
                  <c:v>50.57</c:v>
                </c:pt>
                <c:pt idx="180">
                  <c:v>49.4</c:v>
                </c:pt>
                <c:pt idx="181">
                  <c:v>48.9</c:v>
                </c:pt>
                <c:pt idx="182">
                  <c:v>49.06</c:v>
                </c:pt>
                <c:pt idx="183">
                  <c:v>48.05</c:v>
                </c:pt>
                <c:pt idx="184">
                  <c:v>48.05</c:v>
                </c:pt>
                <c:pt idx="185">
                  <c:v>48.65</c:v>
                </c:pt>
                <c:pt idx="186">
                  <c:v>49.38</c:v>
                </c:pt>
                <c:pt idx="187">
                  <c:v>48.61</c:v>
                </c:pt>
                <c:pt idx="188">
                  <c:v>47.32</c:v>
                </c:pt>
                <c:pt idx="189">
                  <c:v>47.32</c:v>
                </c:pt>
                <c:pt idx="190">
                  <c:v>47.54</c:v>
                </c:pt>
                <c:pt idx="191">
                  <c:v>45.3</c:v>
                </c:pt>
                <c:pt idx="192">
                  <c:v>45.06</c:v>
                </c:pt>
                <c:pt idx="193">
                  <c:v>44.32</c:v>
                </c:pt>
                <c:pt idx="194">
                  <c:v>44.32</c:v>
                </c:pt>
                <c:pt idx="195">
                  <c:v>41.6</c:v>
                </c:pt>
                <c:pt idx="196">
                  <c:v>41.69</c:v>
                </c:pt>
                <c:pt idx="197">
                  <c:v>45.74</c:v>
                </c:pt>
                <c:pt idx="198">
                  <c:v>48.27</c:v>
                </c:pt>
                <c:pt idx="199">
                  <c:v>48.27</c:v>
                </c:pt>
                <c:pt idx="200">
                  <c:v>47.56</c:v>
                </c:pt>
                <c:pt idx="201">
                  <c:v>49.7</c:v>
                </c:pt>
                <c:pt idx="202">
                  <c:v>49.97</c:v>
                </c:pt>
                <c:pt idx="203">
                  <c:v>48.68</c:v>
                </c:pt>
                <c:pt idx="204">
                  <c:v>48.68</c:v>
                </c:pt>
                <c:pt idx="205">
                  <c:v>48.24</c:v>
                </c:pt>
                <c:pt idx="206">
                  <c:v>46.49</c:v>
                </c:pt>
                <c:pt idx="207">
                  <c:v>48.08</c:v>
                </c:pt>
                <c:pt idx="208">
                  <c:v>47.41</c:v>
                </c:pt>
                <c:pt idx="209">
                  <c:v>47.41</c:v>
                </c:pt>
                <c:pt idx="210">
                  <c:v>46.12</c:v>
                </c:pt>
                <c:pt idx="211">
                  <c:v>47.95</c:v>
                </c:pt>
                <c:pt idx="212">
                  <c:v>47.61</c:v>
                </c:pt>
                <c:pt idx="213">
                  <c:v>46.15</c:v>
                </c:pt>
                <c:pt idx="214">
                  <c:v>46.15</c:v>
                </c:pt>
                <c:pt idx="215">
                  <c:v>47.22</c:v>
                </c:pt>
                <c:pt idx="216">
                  <c:v>45.92</c:v>
                </c:pt>
                <c:pt idx="217">
                  <c:v>46.59</c:v>
                </c:pt>
                <c:pt idx="218">
                  <c:v>46.67</c:v>
                </c:pt>
                <c:pt idx="219">
                  <c:v>46.67</c:v>
                </c:pt>
                <c:pt idx="220">
                  <c:v>46.46</c:v>
                </c:pt>
                <c:pt idx="221">
                  <c:v>47.13</c:v>
                </c:pt>
                <c:pt idx="222">
                  <c:v>47.19</c:v>
                </c:pt>
                <c:pt idx="223">
                  <c:v>47.41</c:v>
                </c:pt>
                <c:pt idx="224">
                  <c:v>47.41</c:v>
                </c:pt>
                <c:pt idx="225">
                  <c:v>51.47</c:v>
                </c:pt>
                <c:pt idx="226">
                  <c:v>51.22</c:v>
                </c:pt>
                <c:pt idx="227">
                  <c:v>52.71</c:v>
                </c:pt>
                <c:pt idx="228">
                  <c:v>52.03</c:v>
                </c:pt>
                <c:pt idx="229">
                  <c:v>52.03</c:v>
                </c:pt>
                <c:pt idx="230">
                  <c:v>48.43</c:v>
                </c:pt>
                <c:pt idx="231">
                  <c:v>47.83</c:v>
                </c:pt>
                <c:pt idx="232">
                  <c:v>48.67</c:v>
                </c:pt>
                <c:pt idx="233">
                  <c:v>49.04</c:v>
                </c:pt>
                <c:pt idx="234">
                  <c:v>49.04</c:v>
                </c:pt>
                <c:pt idx="235">
                  <c:v>46.78</c:v>
                </c:pt>
                <c:pt idx="236">
                  <c:v>45.94</c:v>
                </c:pt>
                <c:pt idx="237">
                  <c:v>46.29</c:v>
                </c:pt>
                <c:pt idx="238">
                  <c:v>46.04</c:v>
                </c:pt>
                <c:pt idx="239">
                  <c:v>46.04</c:v>
                </c:pt>
                <c:pt idx="240">
                  <c:v>45.08</c:v>
                </c:pt>
                <c:pt idx="241">
                  <c:v>47.19</c:v>
                </c:pt>
                <c:pt idx="242">
                  <c:v>46.62</c:v>
                </c:pt>
                <c:pt idx="243">
                  <c:v>47.62</c:v>
                </c:pt>
                <c:pt idx="244">
                  <c:v>47.62</c:v>
                </c:pt>
                <c:pt idx="245">
                  <c:v>48.9</c:v>
                </c:pt>
                <c:pt idx="246">
                  <c:v>47.59</c:v>
                </c:pt>
                <c:pt idx="247">
                  <c:v>46.6</c:v>
                </c:pt>
                <c:pt idx="248">
                  <c:v>46.6</c:v>
                </c:pt>
                <c:pt idx="249">
                  <c:v>45.84</c:v>
                </c:pt>
                <c:pt idx="250">
                  <c:v>44.95</c:v>
                </c:pt>
                <c:pt idx="251">
                  <c:v>43.34</c:v>
                </c:pt>
                <c:pt idx="252">
                  <c:v>42.16</c:v>
                </c:pt>
                <c:pt idx="253">
                  <c:v>42.16</c:v>
                </c:pt>
                <c:pt idx="254">
                  <c:v>41.71</c:v>
                </c:pt>
                <c:pt idx="255">
                  <c:v>42.1</c:v>
                </c:pt>
                <c:pt idx="256">
                  <c:v>41.97</c:v>
                </c:pt>
                <c:pt idx="257">
                  <c:v>42.26</c:v>
                </c:pt>
                <c:pt idx="258">
                  <c:v>42.26</c:v>
                </c:pt>
                <c:pt idx="259">
                  <c:v>44.33</c:v>
                </c:pt>
                <c:pt idx="260">
                  <c:v>44.64</c:v>
                </c:pt>
                <c:pt idx="261">
                  <c:v>43.56</c:v>
                </c:pt>
                <c:pt idx="262">
                  <c:v>43.05</c:v>
                </c:pt>
                <c:pt idx="263">
                  <c:v>43.05</c:v>
                </c:pt>
                <c:pt idx="264">
                  <c:v>43.48</c:v>
                </c:pt>
                <c:pt idx="265">
                  <c:v>41.87</c:v>
                </c:pt>
                <c:pt idx="266">
                  <c:v>42.99</c:v>
                </c:pt>
                <c:pt idx="267">
                  <c:v>42.04</c:v>
                </c:pt>
                <c:pt idx="268">
                  <c:v>42.04</c:v>
                </c:pt>
                <c:pt idx="269">
                  <c:v>39.68</c:v>
                </c:pt>
                <c:pt idx="270">
                  <c:v>39.68</c:v>
                </c:pt>
                <c:pt idx="271">
                  <c:v>39.04</c:v>
                </c:pt>
                <c:pt idx="272">
                  <c:v>37.33</c:v>
                </c:pt>
                <c:pt idx="273">
                  <c:v>37.33</c:v>
                </c:pt>
                <c:pt idx="274">
                  <c:v>36.909999999999997</c:v>
                </c:pt>
                <c:pt idx="275">
                  <c:v>36.14</c:v>
                </c:pt>
                <c:pt idx="276">
                  <c:v>35.340000000000003</c:v>
                </c:pt>
                <c:pt idx="277">
                  <c:v>35.049999999999997</c:v>
                </c:pt>
                <c:pt idx="278">
                  <c:v>35.049999999999997</c:v>
                </c:pt>
                <c:pt idx="279">
                  <c:v>34.85</c:v>
                </c:pt>
                <c:pt idx="280">
                  <c:v>36.19</c:v>
                </c:pt>
                <c:pt idx="281">
                  <c:v>36.49</c:v>
                </c:pt>
                <c:pt idx="282">
                  <c:v>36.49</c:v>
                </c:pt>
                <c:pt idx="283">
                  <c:v>36.49</c:v>
                </c:pt>
                <c:pt idx="284">
                  <c:v>36.35</c:v>
                </c:pt>
                <c:pt idx="285">
                  <c:v>35.049999999999997</c:v>
                </c:pt>
                <c:pt idx="286">
                  <c:v>35.75</c:v>
                </c:pt>
                <c:pt idx="287">
                  <c:v>36.14</c:v>
                </c:pt>
                <c:pt idx="288">
                  <c:v>28.68</c:v>
                </c:pt>
                <c:pt idx="289">
                  <c:v>28.35</c:v>
                </c:pt>
                <c:pt idx="290">
                  <c:v>29.8</c:v>
                </c:pt>
                <c:pt idx="291">
                  <c:v>27.93</c:v>
                </c:pt>
                <c:pt idx="292">
                  <c:v>27.93</c:v>
                </c:pt>
                <c:pt idx="293">
                  <c:v>27.38</c:v>
                </c:pt>
                <c:pt idx="294">
                  <c:v>26.39</c:v>
                </c:pt>
                <c:pt idx="295">
                  <c:v>28.19</c:v>
                </c:pt>
                <c:pt idx="296">
                  <c:v>30.98</c:v>
                </c:pt>
                <c:pt idx="297">
                  <c:v>30.98</c:v>
                </c:pt>
                <c:pt idx="298">
                  <c:v>29.95</c:v>
                </c:pt>
                <c:pt idx="299">
                  <c:v>31.7</c:v>
                </c:pt>
                <c:pt idx="300">
                  <c:v>33.04</c:v>
                </c:pt>
                <c:pt idx="301">
                  <c:v>33.200000000000003</c:v>
                </c:pt>
                <c:pt idx="302">
                  <c:v>33.200000000000003</c:v>
                </c:pt>
                <c:pt idx="303">
                  <c:v>32</c:v>
                </c:pt>
                <c:pt idx="304">
                  <c:v>35.31</c:v>
                </c:pt>
                <c:pt idx="305">
                  <c:v>34</c:v>
                </c:pt>
                <c:pt idx="306">
                  <c:v>33.69</c:v>
                </c:pt>
                <c:pt idx="307">
                  <c:v>33.69</c:v>
                </c:pt>
                <c:pt idx="308">
                  <c:v>30.38</c:v>
                </c:pt>
                <c:pt idx="309">
                  <c:v>30.95</c:v>
                </c:pt>
                <c:pt idx="310">
                  <c:v>31.04</c:v>
                </c:pt>
                <c:pt idx="311">
                  <c:v>32.28</c:v>
                </c:pt>
                <c:pt idx="312">
                  <c:v>32.28</c:v>
                </c:pt>
                <c:pt idx="313">
                  <c:v>31.76</c:v>
                </c:pt>
                <c:pt idx="314">
                  <c:v>34.36</c:v>
                </c:pt>
                <c:pt idx="315">
                  <c:v>33.450000000000003</c:v>
                </c:pt>
                <c:pt idx="316">
                  <c:v>32.520000000000003</c:v>
                </c:pt>
                <c:pt idx="317">
                  <c:v>32.520000000000003</c:v>
                </c:pt>
                <c:pt idx="318">
                  <c:v>32.520000000000003</c:v>
                </c:pt>
                <c:pt idx="319">
                  <c:v>34.47</c:v>
                </c:pt>
                <c:pt idx="320">
                  <c:v>34.770000000000003</c:v>
                </c:pt>
                <c:pt idx="321">
                  <c:v>34.770000000000003</c:v>
                </c:pt>
                <c:pt idx="322">
                  <c:v>36.22</c:v>
                </c:pt>
                <c:pt idx="323">
                  <c:v>36.729999999999997</c:v>
                </c:pt>
                <c:pt idx="324">
                  <c:v>36.590000000000003</c:v>
                </c:pt>
                <c:pt idx="325">
                  <c:v>38.39</c:v>
                </c:pt>
                <c:pt idx="326">
                  <c:v>38.39</c:v>
                </c:pt>
                <c:pt idx="327">
                  <c:v>39.39</c:v>
                </c:pt>
                <c:pt idx="328">
                  <c:v>39.46</c:v>
                </c:pt>
                <c:pt idx="329">
                  <c:v>39.46</c:v>
                </c:pt>
                <c:pt idx="330">
                  <c:v>37.94</c:v>
                </c:pt>
                <c:pt idx="331">
                  <c:v>39.450000000000003</c:v>
                </c:pt>
                <c:pt idx="332">
                  <c:v>40.56</c:v>
                </c:pt>
                <c:pt idx="333">
                  <c:v>40.54</c:v>
                </c:pt>
                <c:pt idx="334">
                  <c:v>40.54</c:v>
                </c:pt>
                <c:pt idx="335">
                  <c:v>40.89</c:v>
                </c:pt>
                <c:pt idx="336">
                  <c:v>39.79</c:v>
                </c:pt>
                <c:pt idx="337">
                  <c:v>39.54</c:v>
                </c:pt>
                <c:pt idx="338">
                  <c:v>39.54</c:v>
                </c:pt>
                <c:pt idx="339">
                  <c:v>39.54</c:v>
                </c:pt>
                <c:pt idx="340">
                  <c:v>38.619999999999997</c:v>
                </c:pt>
                <c:pt idx="341">
                  <c:v>38.81</c:v>
                </c:pt>
                <c:pt idx="342">
                  <c:v>38.72</c:v>
                </c:pt>
                <c:pt idx="343">
                  <c:v>37.86</c:v>
                </c:pt>
                <c:pt idx="344">
                  <c:v>37.86</c:v>
                </c:pt>
                <c:pt idx="345">
                  <c:v>37.31</c:v>
                </c:pt>
                <c:pt idx="346">
                  <c:v>38.89</c:v>
                </c:pt>
                <c:pt idx="347">
                  <c:v>38.700000000000003</c:v>
                </c:pt>
                <c:pt idx="348">
                  <c:v>41.01</c:v>
                </c:pt>
                <c:pt idx="349">
                  <c:v>41.01</c:v>
                </c:pt>
                <c:pt idx="350">
                  <c:v>43.3</c:v>
                </c:pt>
                <c:pt idx="351">
                  <c:v>42.81</c:v>
                </c:pt>
                <c:pt idx="352">
                  <c:v>42.68</c:v>
                </c:pt>
                <c:pt idx="353">
                  <c:v>41.96</c:v>
                </c:pt>
                <c:pt idx="354">
                  <c:v>41.96</c:v>
                </c:pt>
                <c:pt idx="355">
                  <c:v>42.91</c:v>
                </c:pt>
                <c:pt idx="356">
                  <c:v>44.4</c:v>
                </c:pt>
                <c:pt idx="357">
                  <c:v>43.48</c:v>
                </c:pt>
                <c:pt idx="358">
                  <c:v>44</c:v>
                </c:pt>
                <c:pt idx="359">
                  <c:v>44</c:v>
                </c:pt>
                <c:pt idx="360">
                  <c:v>44.88</c:v>
                </c:pt>
                <c:pt idx="361">
                  <c:v>45.99</c:v>
                </c:pt>
                <c:pt idx="362">
                  <c:v>46.64</c:v>
                </c:pt>
                <c:pt idx="363">
                  <c:v>46.36</c:v>
                </c:pt>
                <c:pt idx="364">
                  <c:v>46.36</c:v>
                </c:pt>
                <c:pt idx="365">
                  <c:v>44.72</c:v>
                </c:pt>
                <c:pt idx="366">
                  <c:v>44.85</c:v>
                </c:pt>
                <c:pt idx="367">
                  <c:v>44.85</c:v>
                </c:pt>
                <c:pt idx="368">
                  <c:v>46.59</c:v>
                </c:pt>
                <c:pt idx="369">
                  <c:v>47.48</c:v>
                </c:pt>
                <c:pt idx="370">
                  <c:v>47.31</c:v>
                </c:pt>
                <c:pt idx="371">
                  <c:v>47.31</c:v>
                </c:pt>
                <c:pt idx="372">
                  <c:v>48.74</c:v>
                </c:pt>
                <c:pt idx="373">
                  <c:v>47.88</c:v>
                </c:pt>
                <c:pt idx="374">
                  <c:v>48.35</c:v>
                </c:pt>
                <c:pt idx="375">
                  <c:v>48.28</c:v>
                </c:pt>
                <c:pt idx="376">
                  <c:v>48.28</c:v>
                </c:pt>
                <c:pt idx="377">
                  <c:v>48.48</c:v>
                </c:pt>
                <c:pt idx="378">
                  <c:v>49.28</c:v>
                </c:pt>
                <c:pt idx="379">
                  <c:v>49.83</c:v>
                </c:pt>
                <c:pt idx="380">
                  <c:v>48.96</c:v>
                </c:pt>
                <c:pt idx="381">
                  <c:v>48.96</c:v>
                </c:pt>
                <c:pt idx="382">
                  <c:v>48.31</c:v>
                </c:pt>
                <c:pt idx="383">
                  <c:v>48.87</c:v>
                </c:pt>
                <c:pt idx="384">
                  <c:v>49.11</c:v>
                </c:pt>
                <c:pt idx="385">
                  <c:v>49.04</c:v>
                </c:pt>
                <c:pt idx="386">
                  <c:v>49.04</c:v>
                </c:pt>
                <c:pt idx="387">
                  <c:v>49.98</c:v>
                </c:pt>
                <c:pt idx="388">
                  <c:v>51.33</c:v>
                </c:pt>
                <c:pt idx="389">
                  <c:v>50.39</c:v>
                </c:pt>
                <c:pt idx="390">
                  <c:v>48.89</c:v>
                </c:pt>
                <c:pt idx="391">
                  <c:v>48.89</c:v>
                </c:pt>
                <c:pt idx="392">
                  <c:v>47.09</c:v>
                </c:pt>
                <c:pt idx="393">
                  <c:v>45.45</c:v>
                </c:pt>
                <c:pt idx="394">
                  <c:v>47.77</c:v>
                </c:pt>
                <c:pt idx="395">
                  <c:v>47.77</c:v>
                </c:pt>
                <c:pt idx="396">
                  <c:v>49.47</c:v>
                </c:pt>
                <c:pt idx="397">
                  <c:v>48.36</c:v>
                </c:pt>
                <c:pt idx="398">
                  <c:v>49.55</c:v>
                </c:pt>
                <c:pt idx="399">
                  <c:v>46.93</c:v>
                </c:pt>
                <c:pt idx="400">
                  <c:v>46.93</c:v>
                </c:pt>
                <c:pt idx="401">
                  <c:v>47.35</c:v>
                </c:pt>
                <c:pt idx="402">
                  <c:v>48.68</c:v>
                </c:pt>
                <c:pt idx="403">
                  <c:v>48.42</c:v>
                </c:pt>
                <c:pt idx="404">
                  <c:v>49.27</c:v>
                </c:pt>
                <c:pt idx="405">
                  <c:v>49.27</c:v>
                </c:pt>
                <c:pt idx="406">
                  <c:v>46.52</c:v>
                </c:pt>
                <c:pt idx="407">
                  <c:v>47.29</c:v>
                </c:pt>
                <c:pt idx="408">
                  <c:v>44.88</c:v>
                </c:pt>
                <c:pt idx="409">
                  <c:v>44.64</c:v>
                </c:pt>
                <c:pt idx="410">
                  <c:v>44.64</c:v>
                </c:pt>
                <c:pt idx="411">
                  <c:v>46.46</c:v>
                </c:pt>
                <c:pt idx="412">
                  <c:v>45.13</c:v>
                </c:pt>
                <c:pt idx="413">
                  <c:v>45.69</c:v>
                </c:pt>
                <c:pt idx="414">
                  <c:v>46.72</c:v>
                </c:pt>
                <c:pt idx="415">
                  <c:v>46.72</c:v>
                </c:pt>
                <c:pt idx="416">
                  <c:v>45.31</c:v>
                </c:pt>
                <c:pt idx="417">
                  <c:v>45.81</c:v>
                </c:pt>
                <c:pt idx="418">
                  <c:v>44.75</c:v>
                </c:pt>
                <c:pt idx="419">
                  <c:v>44.42</c:v>
                </c:pt>
                <c:pt idx="420">
                  <c:v>44.42</c:v>
                </c:pt>
                <c:pt idx="421">
                  <c:v>43.27</c:v>
                </c:pt>
                <c:pt idx="422">
                  <c:v>42.25</c:v>
                </c:pt>
                <c:pt idx="423">
                  <c:v>41.2</c:v>
                </c:pt>
                <c:pt idx="424">
                  <c:v>41.01</c:v>
                </c:pt>
                <c:pt idx="425">
                  <c:v>41.01</c:v>
                </c:pt>
                <c:pt idx="426">
                  <c:v>40.58</c:v>
                </c:pt>
                <c:pt idx="427">
                  <c:v>42.38</c:v>
                </c:pt>
                <c:pt idx="428">
                  <c:v>43.05</c:v>
                </c:pt>
                <c:pt idx="429">
                  <c:v>43.26</c:v>
                </c:pt>
                <c:pt idx="430">
                  <c:v>43.26</c:v>
                </c:pt>
                <c:pt idx="431">
                  <c:v>43.75</c:v>
                </c:pt>
                <c:pt idx="432">
                  <c:v>42.58</c:v>
                </c:pt>
                <c:pt idx="433">
                  <c:v>44.72</c:v>
                </c:pt>
                <c:pt idx="434">
                  <c:v>46.21</c:v>
                </c:pt>
                <c:pt idx="435">
                  <c:v>46.21</c:v>
                </c:pt>
                <c:pt idx="436">
                  <c:v>48.2</c:v>
                </c:pt>
                <c:pt idx="437">
                  <c:v>49.06</c:v>
                </c:pt>
                <c:pt idx="438">
                  <c:v>50.03</c:v>
                </c:pt>
                <c:pt idx="439">
                  <c:v>49.89</c:v>
                </c:pt>
                <c:pt idx="440">
                  <c:v>49.89</c:v>
                </c:pt>
                <c:pt idx="441">
                  <c:v>48.67</c:v>
                </c:pt>
                <c:pt idx="442">
                  <c:v>48.37</c:v>
                </c:pt>
                <c:pt idx="443">
                  <c:v>48.99</c:v>
                </c:pt>
                <c:pt idx="444">
                  <c:v>49.13</c:v>
                </c:pt>
                <c:pt idx="445">
                  <c:v>49.13</c:v>
                </c:pt>
                <c:pt idx="446">
                  <c:v>47.42</c:v>
                </c:pt>
                <c:pt idx="447">
                  <c:v>46.18</c:v>
                </c:pt>
                <c:pt idx="448">
                  <c:v>45.13</c:v>
                </c:pt>
                <c:pt idx="449">
                  <c:v>45.85</c:v>
                </c:pt>
                <c:pt idx="450">
                  <c:v>45.85</c:v>
                </c:pt>
                <c:pt idx="451">
                  <c:v>46.71</c:v>
                </c:pt>
                <c:pt idx="452">
                  <c:v>47.44</c:v>
                </c:pt>
                <c:pt idx="453">
                  <c:v>48.87</c:v>
                </c:pt>
                <c:pt idx="454">
                  <c:v>46.96</c:v>
                </c:pt>
                <c:pt idx="455">
                  <c:v>46.96</c:v>
                </c:pt>
                <c:pt idx="456">
                  <c:v>45.95</c:v>
                </c:pt>
                <c:pt idx="457">
                  <c:v>44.79</c:v>
                </c:pt>
                <c:pt idx="458">
                  <c:v>45.28</c:v>
                </c:pt>
                <c:pt idx="459">
                  <c:v>44.93</c:v>
                </c:pt>
                <c:pt idx="460">
                  <c:v>44.93</c:v>
                </c:pt>
                <c:pt idx="461">
                  <c:v>44.94</c:v>
                </c:pt>
                <c:pt idx="462">
                  <c:v>45.97</c:v>
                </c:pt>
                <c:pt idx="463">
                  <c:v>46.24</c:v>
                </c:pt>
                <c:pt idx="464">
                  <c:v>44.86</c:v>
                </c:pt>
                <c:pt idx="465">
                  <c:v>44.86</c:v>
                </c:pt>
                <c:pt idx="466">
                  <c:v>44.95</c:v>
                </c:pt>
                <c:pt idx="467">
                  <c:v>47.58</c:v>
                </c:pt>
                <c:pt idx="468">
                  <c:v>47.83</c:v>
                </c:pt>
                <c:pt idx="469">
                  <c:v>47.71</c:v>
                </c:pt>
                <c:pt idx="470">
                  <c:v>47.71</c:v>
                </c:pt>
                <c:pt idx="471">
                  <c:v>49.93</c:v>
                </c:pt>
                <c:pt idx="472">
                  <c:v>50.21</c:v>
                </c:pt>
                <c:pt idx="473">
                  <c:v>51.17</c:v>
                </c:pt>
                <c:pt idx="474">
                  <c:v>50.33</c:v>
                </c:pt>
                <c:pt idx="475">
                  <c:v>50.33</c:v>
                </c:pt>
                <c:pt idx="476">
                  <c:v>51.11</c:v>
                </c:pt>
                <c:pt idx="477">
                  <c:v>49.97</c:v>
                </c:pt>
                <c:pt idx="478">
                  <c:v>50.37</c:v>
                </c:pt>
                <c:pt idx="479">
                  <c:v>50.36</c:v>
                </c:pt>
                <c:pt idx="480">
                  <c:v>50.36</c:v>
                </c:pt>
                <c:pt idx="481">
                  <c:v>50.35</c:v>
                </c:pt>
                <c:pt idx="482">
                  <c:v>50.88</c:v>
                </c:pt>
                <c:pt idx="483">
                  <c:v>49.59</c:v>
                </c:pt>
                <c:pt idx="484">
                  <c:v>50</c:v>
                </c:pt>
                <c:pt idx="485">
                  <c:v>50</c:v>
                </c:pt>
                <c:pt idx="486">
                  <c:v>48.28</c:v>
                </c:pt>
                <c:pt idx="487">
                  <c:v>48.3</c:v>
                </c:pt>
                <c:pt idx="488">
                  <c:v>48.57</c:v>
                </c:pt>
                <c:pt idx="489">
                  <c:v>47.97</c:v>
                </c:pt>
                <c:pt idx="490">
                  <c:v>47.97</c:v>
                </c:pt>
                <c:pt idx="491">
                  <c:v>47.87</c:v>
                </c:pt>
                <c:pt idx="492">
                  <c:v>46.88</c:v>
                </c:pt>
                <c:pt idx="493">
                  <c:v>46.37</c:v>
                </c:pt>
                <c:pt idx="494">
                  <c:v>45.57</c:v>
                </c:pt>
                <c:pt idx="495">
                  <c:v>44.96</c:v>
                </c:pt>
                <c:pt idx="496">
                  <c:v>45.19</c:v>
                </c:pt>
                <c:pt idx="497">
                  <c:v>45.02</c:v>
                </c:pt>
                <c:pt idx="498">
                  <c:v>43.77</c:v>
                </c:pt>
                <c:pt idx="499">
                  <c:v>43.77</c:v>
                </c:pt>
                <c:pt idx="500">
                  <c:v>46.04</c:v>
                </c:pt>
                <c:pt idx="501">
                  <c:v>45.72</c:v>
                </c:pt>
                <c:pt idx="502">
                  <c:v>45.15</c:v>
                </c:pt>
                <c:pt idx="503">
                  <c:v>45.91</c:v>
                </c:pt>
                <c:pt idx="504">
                  <c:v>45.91</c:v>
                </c:pt>
                <c:pt idx="505">
                  <c:v>48.5</c:v>
                </c:pt>
                <c:pt idx="506">
                  <c:v>48.54</c:v>
                </c:pt>
                <c:pt idx="507">
                  <c:v>48.21</c:v>
                </c:pt>
                <c:pt idx="508">
                  <c:v>46.58</c:v>
                </c:pt>
                <c:pt idx="509">
                  <c:v>46.58</c:v>
                </c:pt>
                <c:pt idx="510">
                  <c:v>45.94</c:v>
                </c:pt>
                <c:pt idx="511">
                  <c:v>49.86</c:v>
                </c:pt>
                <c:pt idx="512">
                  <c:v>53.01</c:v>
                </c:pt>
                <c:pt idx="513">
                  <c:v>53.87</c:v>
                </c:pt>
                <c:pt idx="514">
                  <c:v>53.87</c:v>
                </c:pt>
                <c:pt idx="515">
                  <c:v>52.95</c:v>
                </c:pt>
                <c:pt idx="516">
                  <c:v>51.95</c:v>
                </c:pt>
                <c:pt idx="517">
                  <c:v>53.09</c:v>
                </c:pt>
                <c:pt idx="518">
                  <c:v>53.59</c:v>
                </c:pt>
                <c:pt idx="519">
                  <c:v>53.59</c:v>
                </c:pt>
                <c:pt idx="520">
                  <c:v>54.37</c:v>
                </c:pt>
                <c:pt idx="521">
                  <c:v>52.98</c:v>
                </c:pt>
                <c:pt idx="522">
                  <c:v>53.41</c:v>
                </c:pt>
                <c:pt idx="523">
                  <c:v>54.5</c:v>
                </c:pt>
                <c:pt idx="524">
                  <c:v>54.5</c:v>
                </c:pt>
                <c:pt idx="525">
                  <c:v>54.91</c:v>
                </c:pt>
                <c:pt idx="526">
                  <c:v>53.84</c:v>
                </c:pt>
                <c:pt idx="527">
                  <c:v>54.2</c:v>
                </c:pt>
                <c:pt idx="528">
                  <c:v>54.38</c:v>
                </c:pt>
                <c:pt idx="529">
                  <c:v>54.38</c:v>
                </c:pt>
                <c:pt idx="530">
                  <c:v>55.38</c:v>
                </c:pt>
                <c:pt idx="531">
                  <c:v>55.28</c:v>
                </c:pt>
                <c:pt idx="532">
                  <c:v>55.57</c:v>
                </c:pt>
                <c:pt idx="533">
                  <c:v>55.41</c:v>
                </c:pt>
                <c:pt idx="534">
                  <c:v>55.41</c:v>
                </c:pt>
                <c:pt idx="535">
                  <c:v>52.88</c:v>
                </c:pt>
                <c:pt idx="536">
                  <c:v>54.42</c:v>
                </c:pt>
                <c:pt idx="537">
                  <c:v>55.6</c:v>
                </c:pt>
                <c:pt idx="538">
                  <c:v>55.14</c:v>
                </c:pt>
                <c:pt idx="539">
                  <c:v>55.14</c:v>
                </c:pt>
                <c:pt idx="540">
                  <c:v>54.94</c:v>
                </c:pt>
                <c:pt idx="541">
                  <c:v>53.62</c:v>
                </c:pt>
                <c:pt idx="542">
                  <c:v>53.59</c:v>
                </c:pt>
                <c:pt idx="543">
                  <c:v>54.94</c:v>
                </c:pt>
                <c:pt idx="544">
                  <c:v>54.94</c:v>
                </c:pt>
                <c:pt idx="545">
                  <c:v>54.68</c:v>
                </c:pt>
                <c:pt idx="546">
                  <c:v>54.71</c:v>
                </c:pt>
                <c:pt idx="547">
                  <c:v>55.54</c:v>
                </c:pt>
                <c:pt idx="548">
                  <c:v>54.86</c:v>
                </c:pt>
                <c:pt idx="549">
                  <c:v>54.86</c:v>
                </c:pt>
                <c:pt idx="550">
                  <c:v>54.68</c:v>
                </c:pt>
              </c:numCache>
            </c:numRef>
          </c:xVal>
          <c:yVal>
            <c:numRef>
              <c:f>'[monitor.xlsx]Лист1 (2)'!$B$1950:$B$2500</c:f>
              <c:numCache>
                <c:formatCode>0.00</c:formatCode>
                <c:ptCount val="551"/>
                <c:pt idx="0">
                  <c:v>46.035899999999998</c:v>
                </c:pt>
                <c:pt idx="1">
                  <c:v>46.871699999999997</c:v>
                </c:pt>
                <c:pt idx="2">
                  <c:v>46.871699999999997</c:v>
                </c:pt>
                <c:pt idx="3">
                  <c:v>46.494300000000003</c:v>
                </c:pt>
                <c:pt idx="4">
                  <c:v>45.900700000000001</c:v>
                </c:pt>
                <c:pt idx="5">
                  <c:v>46.381999999999998</c:v>
                </c:pt>
                <c:pt idx="6">
                  <c:v>47.190899999999999</c:v>
                </c:pt>
                <c:pt idx="7">
                  <c:v>47.190899999999999</c:v>
                </c:pt>
                <c:pt idx="8">
                  <c:v>46.920699999999997</c:v>
                </c:pt>
                <c:pt idx="9">
                  <c:v>46.725499999999997</c:v>
                </c:pt>
                <c:pt idx="10">
                  <c:v>46.286999999999999</c:v>
                </c:pt>
                <c:pt idx="11">
                  <c:v>45.736800000000002</c:v>
                </c:pt>
                <c:pt idx="12">
                  <c:v>45.736800000000002</c:v>
                </c:pt>
                <c:pt idx="13">
                  <c:v>45.676000000000002</c:v>
                </c:pt>
                <c:pt idx="14">
                  <c:v>47.108499999999999</c:v>
                </c:pt>
                <c:pt idx="15">
                  <c:v>47.450600000000001</c:v>
                </c:pt>
                <c:pt idx="16">
                  <c:v>49.323</c:v>
                </c:pt>
                <c:pt idx="17">
                  <c:v>49.323</c:v>
                </c:pt>
                <c:pt idx="18">
                  <c:v>53.579000000000001</c:v>
                </c:pt>
                <c:pt idx="19">
                  <c:v>53.350200000000001</c:v>
                </c:pt>
                <c:pt idx="20">
                  <c:v>54.0351</c:v>
                </c:pt>
                <c:pt idx="21">
                  <c:v>53.982900000000001</c:v>
                </c:pt>
                <c:pt idx="22">
                  <c:v>53.982900000000001</c:v>
                </c:pt>
                <c:pt idx="23">
                  <c:v>54.186999999999998</c:v>
                </c:pt>
                <c:pt idx="24">
                  <c:v>54.665999999999997</c:v>
                </c:pt>
                <c:pt idx="25">
                  <c:v>55.5396</c:v>
                </c:pt>
                <c:pt idx="26">
                  <c:v>57.439399999999999</c:v>
                </c:pt>
                <c:pt idx="27">
                  <c:v>57.439399999999999</c:v>
                </c:pt>
                <c:pt idx="28">
                  <c:v>72.121600000000001</c:v>
                </c:pt>
                <c:pt idx="29">
                  <c:v>60.636200000000002</c:v>
                </c:pt>
                <c:pt idx="30">
                  <c:v>61.593499999999999</c:v>
                </c:pt>
                <c:pt idx="31">
                  <c:v>58.722999999999999</c:v>
                </c:pt>
                <c:pt idx="32">
                  <c:v>58.722999999999999</c:v>
                </c:pt>
                <c:pt idx="33">
                  <c:v>54.549599999999998</c:v>
                </c:pt>
                <c:pt idx="34">
                  <c:v>53.587699999999998</c:v>
                </c:pt>
                <c:pt idx="35">
                  <c:v>52.577500000000001</c:v>
                </c:pt>
                <c:pt idx="36">
                  <c:v>53.929400000000001</c:v>
                </c:pt>
                <c:pt idx="37">
                  <c:v>53.929400000000001</c:v>
                </c:pt>
                <c:pt idx="38">
                  <c:v>58.656999999999996</c:v>
                </c:pt>
                <c:pt idx="39">
                  <c:v>58.656999999999996</c:v>
                </c:pt>
                <c:pt idx="40">
                  <c:v>58.656999999999996</c:v>
                </c:pt>
                <c:pt idx="41">
                  <c:v>65.278199999999998</c:v>
                </c:pt>
                <c:pt idx="42">
                  <c:v>64.717799999999997</c:v>
                </c:pt>
                <c:pt idx="43">
                  <c:v>65.242400000000004</c:v>
                </c:pt>
                <c:pt idx="44">
                  <c:v>65.134100000000004</c:v>
                </c:pt>
                <c:pt idx="45">
                  <c:v>65.134100000000004</c:v>
                </c:pt>
                <c:pt idx="46">
                  <c:v>65.1995</c:v>
                </c:pt>
                <c:pt idx="47">
                  <c:v>65.324799999999996</c:v>
                </c:pt>
                <c:pt idx="48">
                  <c:v>64.195999999999998</c:v>
                </c:pt>
                <c:pt idx="49">
                  <c:v>64.206800000000001</c:v>
                </c:pt>
                <c:pt idx="50">
                  <c:v>64.206800000000001</c:v>
                </c:pt>
                <c:pt idx="51">
                  <c:v>66.896699999999996</c:v>
                </c:pt>
                <c:pt idx="52">
                  <c:v>67.985699999999994</c:v>
                </c:pt>
                <c:pt idx="53">
                  <c:v>68.763000000000005</c:v>
                </c:pt>
                <c:pt idx="54">
                  <c:v>68.959199999999996</c:v>
                </c:pt>
                <c:pt idx="55">
                  <c:v>68.959199999999996</c:v>
                </c:pt>
                <c:pt idx="56">
                  <c:v>65.221500000000006</c:v>
                </c:pt>
                <c:pt idx="57">
                  <c:v>68.070300000000003</c:v>
                </c:pt>
                <c:pt idx="58">
                  <c:v>66.541600000000003</c:v>
                </c:pt>
                <c:pt idx="59">
                  <c:v>66.9405</c:v>
                </c:pt>
                <c:pt idx="60">
                  <c:v>66.9405</c:v>
                </c:pt>
                <c:pt idx="61">
                  <c:v>65.489500000000007</c:v>
                </c:pt>
                <c:pt idx="62">
                  <c:v>65.310400000000001</c:v>
                </c:pt>
                <c:pt idx="63">
                  <c:v>65.176000000000002</c:v>
                </c:pt>
                <c:pt idx="64">
                  <c:v>63.468499999999999</c:v>
                </c:pt>
                <c:pt idx="65">
                  <c:v>63.468499999999999</c:v>
                </c:pt>
                <c:pt idx="66">
                  <c:v>62.546599999999998</c:v>
                </c:pt>
                <c:pt idx="67">
                  <c:v>61.536999999999999</c:v>
                </c:pt>
                <c:pt idx="68">
                  <c:v>61.915999999999997</c:v>
                </c:pt>
                <c:pt idx="69">
                  <c:v>61.994</c:v>
                </c:pt>
                <c:pt idx="70">
                  <c:v>61.994</c:v>
                </c:pt>
                <c:pt idx="71">
                  <c:v>61.349499999999999</c:v>
                </c:pt>
                <c:pt idx="72">
                  <c:v>61.148299999999999</c:v>
                </c:pt>
                <c:pt idx="73">
                  <c:v>61.609400000000001</c:v>
                </c:pt>
                <c:pt idx="74">
                  <c:v>61.609400000000001</c:v>
                </c:pt>
                <c:pt idx="75">
                  <c:v>61.919400000000003</c:v>
                </c:pt>
                <c:pt idx="76">
                  <c:v>61.942</c:v>
                </c:pt>
                <c:pt idx="77">
                  <c:v>60.842500000000001</c:v>
                </c:pt>
                <c:pt idx="78">
                  <c:v>60.424399999999999</c:v>
                </c:pt>
                <c:pt idx="79">
                  <c:v>60.424399999999999</c:v>
                </c:pt>
                <c:pt idx="80">
                  <c:v>61.622999999999998</c:v>
                </c:pt>
                <c:pt idx="81">
                  <c:v>61.238</c:v>
                </c:pt>
                <c:pt idx="82">
                  <c:v>62.205500000000001</c:v>
                </c:pt>
                <c:pt idx="83">
                  <c:v>62.205500000000001</c:v>
                </c:pt>
                <c:pt idx="84">
                  <c:v>61.457700000000003</c:v>
                </c:pt>
                <c:pt idx="85">
                  <c:v>59.395800000000001</c:v>
                </c:pt>
                <c:pt idx="86">
                  <c:v>60.003999999999998</c:v>
                </c:pt>
                <c:pt idx="87">
                  <c:v>59.238100000000003</c:v>
                </c:pt>
                <c:pt idx="88">
                  <c:v>59.238100000000003</c:v>
                </c:pt>
                <c:pt idx="89">
                  <c:v>57.726199999999999</c:v>
                </c:pt>
                <c:pt idx="90">
                  <c:v>57.437800000000003</c:v>
                </c:pt>
                <c:pt idx="91">
                  <c:v>57.312199999999997</c:v>
                </c:pt>
                <c:pt idx="92">
                  <c:v>57.901699999999998</c:v>
                </c:pt>
                <c:pt idx="93">
                  <c:v>57.901699999999998</c:v>
                </c:pt>
                <c:pt idx="94">
                  <c:v>58.191899999999997</c:v>
                </c:pt>
                <c:pt idx="95">
                  <c:v>57.625500000000002</c:v>
                </c:pt>
                <c:pt idx="96">
                  <c:v>56.639800000000001</c:v>
                </c:pt>
                <c:pt idx="97">
                  <c:v>56.673999999999999</c:v>
                </c:pt>
                <c:pt idx="98">
                  <c:v>56.673999999999999</c:v>
                </c:pt>
                <c:pt idx="99">
                  <c:v>55.011000000000003</c:v>
                </c:pt>
                <c:pt idx="100">
                  <c:v>53.605699999999999</c:v>
                </c:pt>
                <c:pt idx="101">
                  <c:v>51.929600000000001</c:v>
                </c:pt>
                <c:pt idx="102">
                  <c:v>53.589799999999997</c:v>
                </c:pt>
                <c:pt idx="103">
                  <c:v>53.589799999999997</c:v>
                </c:pt>
                <c:pt idx="104">
                  <c:v>50.883099999999999</c:v>
                </c:pt>
                <c:pt idx="105">
                  <c:v>49.731700000000004</c:v>
                </c:pt>
                <c:pt idx="106">
                  <c:v>49.808799999999998</c:v>
                </c:pt>
                <c:pt idx="107">
                  <c:v>51.926400000000001</c:v>
                </c:pt>
                <c:pt idx="108">
                  <c:v>51.926400000000001</c:v>
                </c:pt>
                <c:pt idx="109">
                  <c:v>53.771000000000001</c:v>
                </c:pt>
                <c:pt idx="110">
                  <c:v>52.203800000000001</c:v>
                </c:pt>
                <c:pt idx="111">
                  <c:v>50.808300000000003</c:v>
                </c:pt>
                <c:pt idx="112">
                  <c:v>50.890599999999999</c:v>
                </c:pt>
                <c:pt idx="113">
                  <c:v>50.890599999999999</c:v>
                </c:pt>
                <c:pt idx="114">
                  <c:v>51.521799999999999</c:v>
                </c:pt>
                <c:pt idx="115">
                  <c:v>51.0379</c:v>
                </c:pt>
                <c:pt idx="116">
                  <c:v>51.6265</c:v>
                </c:pt>
                <c:pt idx="117">
                  <c:v>51.6265</c:v>
                </c:pt>
                <c:pt idx="118">
                  <c:v>50.953000000000003</c:v>
                </c:pt>
                <c:pt idx="119">
                  <c:v>50.302700000000002</c:v>
                </c:pt>
                <c:pt idx="120">
                  <c:v>51.0229</c:v>
                </c:pt>
                <c:pt idx="121">
                  <c:v>51.0229</c:v>
                </c:pt>
                <c:pt idx="122">
                  <c:v>49.2776</c:v>
                </c:pt>
                <c:pt idx="123">
                  <c:v>50.097700000000003</c:v>
                </c:pt>
                <c:pt idx="124">
                  <c:v>49.520600000000002</c:v>
                </c:pt>
                <c:pt idx="125">
                  <c:v>49.520600000000002</c:v>
                </c:pt>
                <c:pt idx="126">
                  <c:v>49.545499999999997</c:v>
                </c:pt>
                <c:pt idx="127">
                  <c:v>49.74</c:v>
                </c:pt>
                <c:pt idx="128">
                  <c:v>49.974299999999999</c:v>
                </c:pt>
                <c:pt idx="129">
                  <c:v>50.003500000000003</c:v>
                </c:pt>
                <c:pt idx="130">
                  <c:v>50.003500000000003</c:v>
                </c:pt>
                <c:pt idx="131">
                  <c:v>50.952500000000001</c:v>
                </c:pt>
                <c:pt idx="132">
                  <c:v>51.975000000000001</c:v>
                </c:pt>
                <c:pt idx="133">
                  <c:v>52.584800000000001</c:v>
                </c:pt>
                <c:pt idx="134">
                  <c:v>52.344499999999996</c:v>
                </c:pt>
                <c:pt idx="135">
                  <c:v>52.344499999999996</c:v>
                </c:pt>
                <c:pt idx="136">
                  <c:v>52.827800000000003</c:v>
                </c:pt>
                <c:pt idx="137">
                  <c:v>54.292099999999998</c:v>
                </c:pt>
                <c:pt idx="138">
                  <c:v>56.4572</c:v>
                </c:pt>
                <c:pt idx="139">
                  <c:v>56.223500000000001</c:v>
                </c:pt>
                <c:pt idx="140">
                  <c:v>56.223500000000001</c:v>
                </c:pt>
                <c:pt idx="141">
                  <c:v>55.5518</c:v>
                </c:pt>
                <c:pt idx="142">
                  <c:v>54.331899999999997</c:v>
                </c:pt>
                <c:pt idx="143">
                  <c:v>54.7819</c:v>
                </c:pt>
                <c:pt idx="144">
                  <c:v>54.7819</c:v>
                </c:pt>
                <c:pt idx="145">
                  <c:v>53.759300000000003</c:v>
                </c:pt>
                <c:pt idx="146">
                  <c:v>53.6325</c:v>
                </c:pt>
                <c:pt idx="147">
                  <c:v>53.454900000000002</c:v>
                </c:pt>
                <c:pt idx="148">
                  <c:v>54.021099999999997</c:v>
                </c:pt>
                <c:pt idx="149">
                  <c:v>54.021099999999997</c:v>
                </c:pt>
                <c:pt idx="150">
                  <c:v>53.835299999999997</c:v>
                </c:pt>
                <c:pt idx="151">
                  <c:v>54.463999999999999</c:v>
                </c:pt>
                <c:pt idx="152">
                  <c:v>54.716000000000001</c:v>
                </c:pt>
                <c:pt idx="153">
                  <c:v>54.795200000000001</c:v>
                </c:pt>
                <c:pt idx="154">
                  <c:v>54.795200000000001</c:v>
                </c:pt>
                <c:pt idx="155">
                  <c:v>55.2879</c:v>
                </c:pt>
                <c:pt idx="156">
                  <c:v>55.836500000000001</c:v>
                </c:pt>
                <c:pt idx="157">
                  <c:v>55.5304</c:v>
                </c:pt>
                <c:pt idx="158">
                  <c:v>55.976700000000001</c:v>
                </c:pt>
                <c:pt idx="159">
                  <c:v>55.976700000000001</c:v>
                </c:pt>
                <c:pt idx="160">
                  <c:v>56.735700000000001</c:v>
                </c:pt>
                <c:pt idx="161">
                  <c:v>57.497999999999998</c:v>
                </c:pt>
                <c:pt idx="162">
                  <c:v>57.198300000000003</c:v>
                </c:pt>
                <c:pt idx="163">
                  <c:v>56.3703</c:v>
                </c:pt>
                <c:pt idx="164">
                  <c:v>56.3703</c:v>
                </c:pt>
                <c:pt idx="165">
                  <c:v>56.408999999999999</c:v>
                </c:pt>
                <c:pt idx="166">
                  <c:v>56.9373</c:v>
                </c:pt>
                <c:pt idx="167">
                  <c:v>56.955599999999997</c:v>
                </c:pt>
                <c:pt idx="168">
                  <c:v>56.961599999999997</c:v>
                </c:pt>
                <c:pt idx="169">
                  <c:v>56.961599999999997</c:v>
                </c:pt>
                <c:pt idx="170">
                  <c:v>56.936100000000003</c:v>
                </c:pt>
                <c:pt idx="171">
                  <c:v>57.430999999999997</c:v>
                </c:pt>
                <c:pt idx="172">
                  <c:v>57.857500000000002</c:v>
                </c:pt>
                <c:pt idx="173">
                  <c:v>58.425800000000002</c:v>
                </c:pt>
                <c:pt idx="174">
                  <c:v>58.425800000000002</c:v>
                </c:pt>
                <c:pt idx="175">
                  <c:v>60.01</c:v>
                </c:pt>
                <c:pt idx="176">
                  <c:v>58.679200000000002</c:v>
                </c:pt>
                <c:pt idx="177">
                  <c:v>59.728200000000001</c:v>
                </c:pt>
                <c:pt idx="178">
                  <c:v>61.730800000000002</c:v>
                </c:pt>
                <c:pt idx="179">
                  <c:v>61.730800000000002</c:v>
                </c:pt>
                <c:pt idx="180">
                  <c:v>63.063499999999998</c:v>
                </c:pt>
                <c:pt idx="181">
                  <c:v>63.464599999999997</c:v>
                </c:pt>
                <c:pt idx="182">
                  <c:v>64.028899999999993</c:v>
                </c:pt>
                <c:pt idx="183">
                  <c:v>64.033900000000003</c:v>
                </c:pt>
                <c:pt idx="184">
                  <c:v>64.033900000000003</c:v>
                </c:pt>
                <c:pt idx="185">
                  <c:v>64.256200000000007</c:v>
                </c:pt>
                <c:pt idx="186">
                  <c:v>64.242900000000006</c:v>
                </c:pt>
                <c:pt idx="187">
                  <c:v>64.6999</c:v>
                </c:pt>
                <c:pt idx="188">
                  <c:v>64.980500000000006</c:v>
                </c:pt>
                <c:pt idx="189">
                  <c:v>64.980500000000006</c:v>
                </c:pt>
                <c:pt idx="190">
                  <c:v>65.876499999999993</c:v>
                </c:pt>
                <c:pt idx="191">
                  <c:v>66.608999999999995</c:v>
                </c:pt>
                <c:pt idx="192">
                  <c:v>67.922300000000007</c:v>
                </c:pt>
                <c:pt idx="193">
                  <c:v>69.14</c:v>
                </c:pt>
                <c:pt idx="194">
                  <c:v>69.14</c:v>
                </c:pt>
                <c:pt idx="195">
                  <c:v>69.001800000000003</c:v>
                </c:pt>
                <c:pt idx="196">
                  <c:v>68.908100000000005</c:v>
                </c:pt>
                <c:pt idx="197">
                  <c:v>66.051400000000001</c:v>
                </c:pt>
                <c:pt idx="198">
                  <c:v>65.399699999999996</c:v>
                </c:pt>
                <c:pt idx="199">
                  <c:v>65.399699999999996</c:v>
                </c:pt>
                <c:pt idx="200">
                  <c:v>66.796499999999995</c:v>
                </c:pt>
                <c:pt idx="201">
                  <c:v>67.0107</c:v>
                </c:pt>
                <c:pt idx="202">
                  <c:v>67.192800000000005</c:v>
                </c:pt>
                <c:pt idx="203">
                  <c:v>68.488100000000003</c:v>
                </c:pt>
                <c:pt idx="204">
                  <c:v>68.488100000000003</c:v>
                </c:pt>
                <c:pt idx="205">
                  <c:v>67.979399999999998</c:v>
                </c:pt>
                <c:pt idx="206">
                  <c:v>68.483000000000004</c:v>
                </c:pt>
                <c:pt idx="207">
                  <c:v>67.7072</c:v>
                </c:pt>
                <c:pt idx="208">
                  <c:v>67.938100000000006</c:v>
                </c:pt>
                <c:pt idx="209">
                  <c:v>67.938100000000006</c:v>
                </c:pt>
                <c:pt idx="210">
                  <c:v>66.726200000000006</c:v>
                </c:pt>
                <c:pt idx="211">
                  <c:v>65.309899999999999</c:v>
                </c:pt>
                <c:pt idx="212">
                  <c:v>65.445400000000006</c:v>
                </c:pt>
                <c:pt idx="213">
                  <c:v>66.494</c:v>
                </c:pt>
                <c:pt idx="214">
                  <c:v>66.494</c:v>
                </c:pt>
                <c:pt idx="215">
                  <c:v>66.022800000000004</c:v>
                </c:pt>
                <c:pt idx="216">
                  <c:v>66.403000000000006</c:v>
                </c:pt>
                <c:pt idx="217">
                  <c:v>66.090299999999999</c:v>
                </c:pt>
                <c:pt idx="218">
                  <c:v>65.522000000000006</c:v>
                </c:pt>
                <c:pt idx="219">
                  <c:v>65.522000000000006</c:v>
                </c:pt>
                <c:pt idx="220">
                  <c:v>65.720600000000005</c:v>
                </c:pt>
                <c:pt idx="221">
                  <c:v>65.434200000000004</c:v>
                </c:pt>
                <c:pt idx="222">
                  <c:v>65.683000000000007</c:v>
                </c:pt>
                <c:pt idx="223">
                  <c:v>66.014300000000006</c:v>
                </c:pt>
                <c:pt idx="224">
                  <c:v>66.014300000000006</c:v>
                </c:pt>
                <c:pt idx="225">
                  <c:v>63.360199999999999</c:v>
                </c:pt>
                <c:pt idx="226">
                  <c:v>62.65</c:v>
                </c:pt>
                <c:pt idx="227">
                  <c:v>61.362000000000002</c:v>
                </c:pt>
                <c:pt idx="228">
                  <c:v>61.841999999999999</c:v>
                </c:pt>
                <c:pt idx="229">
                  <c:v>61.841999999999999</c:v>
                </c:pt>
                <c:pt idx="230">
                  <c:v>63.0548</c:v>
                </c:pt>
                <c:pt idx="231">
                  <c:v>62.652000000000001</c:v>
                </c:pt>
                <c:pt idx="232">
                  <c:v>61.392000000000003</c:v>
                </c:pt>
                <c:pt idx="233">
                  <c:v>61.274799999999999</c:v>
                </c:pt>
                <c:pt idx="234">
                  <c:v>61.274799999999999</c:v>
                </c:pt>
                <c:pt idx="235">
                  <c:v>62.1096</c:v>
                </c:pt>
                <c:pt idx="236">
                  <c:v>63.033200000000001</c:v>
                </c:pt>
                <c:pt idx="237">
                  <c:v>62.580500000000001</c:v>
                </c:pt>
                <c:pt idx="238">
                  <c:v>62.371099999999998</c:v>
                </c:pt>
                <c:pt idx="239">
                  <c:v>62.371099999999998</c:v>
                </c:pt>
                <c:pt idx="240">
                  <c:v>64.937299999999993</c:v>
                </c:pt>
                <c:pt idx="241">
                  <c:v>63.918100000000003</c:v>
                </c:pt>
                <c:pt idx="242">
                  <c:v>64.400000000000006</c:v>
                </c:pt>
                <c:pt idx="243">
                  <c:v>63.930300000000003</c:v>
                </c:pt>
                <c:pt idx="244">
                  <c:v>63.930300000000003</c:v>
                </c:pt>
                <c:pt idx="245">
                  <c:v>62.597700000000003</c:v>
                </c:pt>
                <c:pt idx="246">
                  <c:v>62.597700000000003</c:v>
                </c:pt>
                <c:pt idx="247">
                  <c:v>64.585400000000007</c:v>
                </c:pt>
                <c:pt idx="248">
                  <c:v>64.585400000000007</c:v>
                </c:pt>
                <c:pt idx="249">
                  <c:v>64.568799999999996</c:v>
                </c:pt>
                <c:pt idx="250">
                  <c:v>65.424599999999998</c:v>
                </c:pt>
                <c:pt idx="251">
                  <c:v>66.6297</c:v>
                </c:pt>
                <c:pt idx="252">
                  <c:v>66.775499999999994</c:v>
                </c:pt>
                <c:pt idx="253">
                  <c:v>66.775499999999994</c:v>
                </c:pt>
                <c:pt idx="254">
                  <c:v>65.131799999999998</c:v>
                </c:pt>
                <c:pt idx="255">
                  <c:v>64.775000000000006</c:v>
                </c:pt>
                <c:pt idx="256">
                  <c:v>64.599699999999999</c:v>
                </c:pt>
                <c:pt idx="257">
                  <c:v>64.752300000000005</c:v>
                </c:pt>
                <c:pt idx="258">
                  <c:v>64.752300000000005</c:v>
                </c:pt>
                <c:pt idx="259">
                  <c:v>65.457700000000003</c:v>
                </c:pt>
                <c:pt idx="260">
                  <c:v>65.5291</c:v>
                </c:pt>
                <c:pt idx="261">
                  <c:v>65.846000000000004</c:v>
                </c:pt>
                <c:pt idx="262">
                  <c:v>66.466200000000001</c:v>
                </c:pt>
                <c:pt idx="263">
                  <c:v>66.466200000000001</c:v>
                </c:pt>
                <c:pt idx="264">
                  <c:v>66.617500000000007</c:v>
                </c:pt>
                <c:pt idx="265">
                  <c:v>67.486599999999996</c:v>
                </c:pt>
                <c:pt idx="266">
                  <c:v>67.525300000000001</c:v>
                </c:pt>
                <c:pt idx="267">
                  <c:v>68.123000000000005</c:v>
                </c:pt>
                <c:pt idx="268">
                  <c:v>68.123000000000005</c:v>
                </c:pt>
                <c:pt idx="269">
                  <c:v>69.4345</c:v>
                </c:pt>
                <c:pt idx="270">
                  <c:v>69.359099999999998</c:v>
                </c:pt>
                <c:pt idx="271">
                  <c:v>69.120400000000004</c:v>
                </c:pt>
                <c:pt idx="272">
                  <c:v>70.343400000000003</c:v>
                </c:pt>
                <c:pt idx="273">
                  <c:v>70.343400000000003</c:v>
                </c:pt>
                <c:pt idx="274">
                  <c:v>69.973100000000002</c:v>
                </c:pt>
                <c:pt idx="275">
                  <c:v>70.3857</c:v>
                </c:pt>
                <c:pt idx="276">
                  <c:v>71.165099999999995</c:v>
                </c:pt>
                <c:pt idx="277">
                  <c:v>70.946200000000005</c:v>
                </c:pt>
                <c:pt idx="278">
                  <c:v>70.946200000000005</c:v>
                </c:pt>
                <c:pt idx="279">
                  <c:v>71.254000000000005</c:v>
                </c:pt>
                <c:pt idx="280">
                  <c:v>69.802499999999995</c:v>
                </c:pt>
                <c:pt idx="281">
                  <c:v>70.253799999999998</c:v>
                </c:pt>
                <c:pt idx="282">
                  <c:v>70.673000000000002</c:v>
                </c:pt>
                <c:pt idx="283">
                  <c:v>70.673000000000002</c:v>
                </c:pt>
                <c:pt idx="284">
                  <c:v>72.227800000000002</c:v>
                </c:pt>
                <c:pt idx="285">
                  <c:v>73.594999999999999</c:v>
                </c:pt>
                <c:pt idx="286">
                  <c:v>73.594999999999999</c:v>
                </c:pt>
                <c:pt idx="287">
                  <c:v>73.594999999999999</c:v>
                </c:pt>
                <c:pt idx="288">
                  <c:v>77.039900000000003</c:v>
                </c:pt>
                <c:pt idx="289">
                  <c:v>76.666899999999998</c:v>
                </c:pt>
                <c:pt idx="290">
                  <c:v>76.070300000000003</c:v>
                </c:pt>
                <c:pt idx="291">
                  <c:v>77.631799999999998</c:v>
                </c:pt>
                <c:pt idx="292">
                  <c:v>77.631799999999998</c:v>
                </c:pt>
                <c:pt idx="293">
                  <c:v>78.595500000000001</c:v>
                </c:pt>
                <c:pt idx="294">
                  <c:v>81.381799999999998</c:v>
                </c:pt>
                <c:pt idx="295">
                  <c:v>82.684200000000004</c:v>
                </c:pt>
                <c:pt idx="296">
                  <c:v>78.054100000000005</c:v>
                </c:pt>
                <c:pt idx="297">
                  <c:v>78.054100000000005</c:v>
                </c:pt>
                <c:pt idx="298">
                  <c:v>78.315799999999996</c:v>
                </c:pt>
                <c:pt idx="299">
                  <c:v>77.697599999999994</c:v>
                </c:pt>
                <c:pt idx="300">
                  <c:v>76.385000000000005</c:v>
                </c:pt>
                <c:pt idx="301">
                  <c:v>75.452200000000005</c:v>
                </c:pt>
                <c:pt idx="302">
                  <c:v>75.452200000000005</c:v>
                </c:pt>
                <c:pt idx="303">
                  <c:v>79.7376</c:v>
                </c:pt>
                <c:pt idx="304">
                  <c:v>76.841200000000001</c:v>
                </c:pt>
                <c:pt idx="305">
                  <c:v>76.933700000000002</c:v>
                </c:pt>
                <c:pt idx="306">
                  <c:v>77.477999999999994</c:v>
                </c:pt>
                <c:pt idx="307">
                  <c:v>77.477999999999994</c:v>
                </c:pt>
                <c:pt idx="308">
                  <c:v>79.694000000000003</c:v>
                </c:pt>
                <c:pt idx="309">
                  <c:v>78.650700000000001</c:v>
                </c:pt>
                <c:pt idx="310">
                  <c:v>79.613299999999995</c:v>
                </c:pt>
                <c:pt idx="311">
                  <c:v>78.351699999999994</c:v>
                </c:pt>
                <c:pt idx="312">
                  <c:v>78.351699999999994</c:v>
                </c:pt>
                <c:pt idx="313">
                  <c:v>77.8994</c:v>
                </c:pt>
                <c:pt idx="314">
                  <c:v>75.055400000000006</c:v>
                </c:pt>
                <c:pt idx="315">
                  <c:v>76.423599999999993</c:v>
                </c:pt>
                <c:pt idx="316">
                  <c:v>76.972499999999997</c:v>
                </c:pt>
                <c:pt idx="317">
                  <c:v>76.972499999999997</c:v>
                </c:pt>
                <c:pt idx="318">
                  <c:v>76.972499999999997</c:v>
                </c:pt>
                <c:pt idx="319">
                  <c:v>75.358500000000006</c:v>
                </c:pt>
                <c:pt idx="320">
                  <c:v>76.194400000000002</c:v>
                </c:pt>
                <c:pt idx="321">
                  <c:v>76.194400000000002</c:v>
                </c:pt>
                <c:pt idx="322">
                  <c:v>73.382000000000005</c:v>
                </c:pt>
                <c:pt idx="323">
                  <c:v>73.041899999999998</c:v>
                </c:pt>
                <c:pt idx="324">
                  <c:v>73.182900000000004</c:v>
                </c:pt>
                <c:pt idx="325">
                  <c:v>71.998500000000007</c:v>
                </c:pt>
                <c:pt idx="326">
                  <c:v>71.998500000000007</c:v>
                </c:pt>
                <c:pt idx="327">
                  <c:v>71.440799999999996</c:v>
                </c:pt>
                <c:pt idx="328">
                  <c:v>69.915700000000001</c:v>
                </c:pt>
                <c:pt idx="329">
                  <c:v>69.915700000000001</c:v>
                </c:pt>
                <c:pt idx="330">
                  <c:v>71.058499999999995</c:v>
                </c:pt>
                <c:pt idx="331">
                  <c:v>69.150000000000006</c:v>
                </c:pt>
                <c:pt idx="332">
                  <c:v>68.092100000000002</c:v>
                </c:pt>
                <c:pt idx="333">
                  <c:v>68.364000000000004</c:v>
                </c:pt>
                <c:pt idx="334">
                  <c:v>68.364000000000004</c:v>
                </c:pt>
                <c:pt idx="335">
                  <c:v>67.5124</c:v>
                </c:pt>
                <c:pt idx="336">
                  <c:v>68.691900000000004</c:v>
                </c:pt>
                <c:pt idx="337">
                  <c:v>68.578400000000002</c:v>
                </c:pt>
                <c:pt idx="338">
                  <c:v>68.447599999999994</c:v>
                </c:pt>
                <c:pt idx="339">
                  <c:v>68.447599999999994</c:v>
                </c:pt>
                <c:pt idx="340">
                  <c:v>68.088499999999996</c:v>
                </c:pt>
                <c:pt idx="341">
                  <c:v>68.244799999999998</c:v>
                </c:pt>
                <c:pt idx="342">
                  <c:v>67.051500000000004</c:v>
                </c:pt>
                <c:pt idx="343">
                  <c:v>67.566199999999995</c:v>
                </c:pt>
                <c:pt idx="344">
                  <c:v>67.566199999999995</c:v>
                </c:pt>
                <c:pt idx="345">
                  <c:v>68.563000000000002</c:v>
                </c:pt>
                <c:pt idx="346">
                  <c:v>67.599599999999995</c:v>
                </c:pt>
                <c:pt idx="347">
                  <c:v>68.013300000000001</c:v>
                </c:pt>
                <c:pt idx="348">
                  <c:v>67.106399999999994</c:v>
                </c:pt>
                <c:pt idx="349">
                  <c:v>67.106399999999994</c:v>
                </c:pt>
                <c:pt idx="350">
                  <c:v>65.715000000000003</c:v>
                </c:pt>
                <c:pt idx="351">
                  <c:v>66.291200000000003</c:v>
                </c:pt>
                <c:pt idx="352">
                  <c:v>66.126800000000003</c:v>
                </c:pt>
                <c:pt idx="353">
                  <c:v>66.425799999999995</c:v>
                </c:pt>
                <c:pt idx="354">
                  <c:v>66.425799999999995</c:v>
                </c:pt>
                <c:pt idx="355">
                  <c:v>65.868399999999994</c:v>
                </c:pt>
                <c:pt idx="356">
                  <c:v>65.168400000000005</c:v>
                </c:pt>
                <c:pt idx="357">
                  <c:v>66.845200000000006</c:v>
                </c:pt>
                <c:pt idx="358">
                  <c:v>66.472399999999993</c:v>
                </c:pt>
                <c:pt idx="359">
                  <c:v>66.472399999999993</c:v>
                </c:pt>
                <c:pt idx="360">
                  <c:v>65.205399999999997</c:v>
                </c:pt>
                <c:pt idx="361">
                  <c:v>65.129499999999993</c:v>
                </c:pt>
                <c:pt idx="362">
                  <c:v>64.7072</c:v>
                </c:pt>
                <c:pt idx="363">
                  <c:v>64.664100000000005</c:v>
                </c:pt>
                <c:pt idx="364">
                  <c:v>64.664100000000005</c:v>
                </c:pt>
                <c:pt idx="365">
                  <c:v>65.8626</c:v>
                </c:pt>
                <c:pt idx="366">
                  <c:v>65.936899999999994</c:v>
                </c:pt>
                <c:pt idx="367">
                  <c:v>65.936899999999994</c:v>
                </c:pt>
                <c:pt idx="368">
                  <c:v>64.999399999999994</c:v>
                </c:pt>
                <c:pt idx="369">
                  <c:v>64.906899999999993</c:v>
                </c:pt>
                <c:pt idx="370">
                  <c:v>65.459400000000002</c:v>
                </c:pt>
                <c:pt idx="371">
                  <c:v>65.459400000000002</c:v>
                </c:pt>
                <c:pt idx="372">
                  <c:v>64.742199999999997</c:v>
                </c:pt>
                <c:pt idx="373">
                  <c:v>65.995900000000006</c:v>
                </c:pt>
                <c:pt idx="374">
                  <c:v>66.7714</c:v>
                </c:pt>
                <c:pt idx="375">
                  <c:v>66.777199999999993</c:v>
                </c:pt>
                <c:pt idx="376">
                  <c:v>66.777199999999993</c:v>
                </c:pt>
                <c:pt idx="377">
                  <c:v>66.175899999999999</c:v>
                </c:pt>
                <c:pt idx="378">
                  <c:v>65.481499999999997</c:v>
                </c:pt>
                <c:pt idx="379">
                  <c:v>65.827100000000002</c:v>
                </c:pt>
                <c:pt idx="380">
                  <c:v>66.115399999999994</c:v>
                </c:pt>
                <c:pt idx="381">
                  <c:v>66.115399999999994</c:v>
                </c:pt>
                <c:pt idx="382">
                  <c:v>66.693100000000001</c:v>
                </c:pt>
                <c:pt idx="383">
                  <c:v>67.096800000000002</c:v>
                </c:pt>
                <c:pt idx="384">
                  <c:v>66.978300000000004</c:v>
                </c:pt>
                <c:pt idx="385">
                  <c:v>65.627799999999993</c:v>
                </c:pt>
                <c:pt idx="386">
                  <c:v>65.627799999999993</c:v>
                </c:pt>
                <c:pt idx="387">
                  <c:v>64.603300000000004</c:v>
                </c:pt>
                <c:pt idx="388">
                  <c:v>63.624099999999999</c:v>
                </c:pt>
                <c:pt idx="389">
                  <c:v>64.322000000000003</c:v>
                </c:pt>
                <c:pt idx="390">
                  <c:v>65.272199999999998</c:v>
                </c:pt>
                <c:pt idx="391">
                  <c:v>65.272199999999998</c:v>
                </c:pt>
                <c:pt idx="392">
                  <c:v>65.548199999999994</c:v>
                </c:pt>
                <c:pt idx="393">
                  <c:v>65.781199999999998</c:v>
                </c:pt>
                <c:pt idx="394">
                  <c:v>64.850300000000004</c:v>
                </c:pt>
                <c:pt idx="395">
                  <c:v>64.850300000000004</c:v>
                </c:pt>
                <c:pt idx="396">
                  <c:v>63.813899999999997</c:v>
                </c:pt>
                <c:pt idx="397">
                  <c:v>64.874600000000001</c:v>
                </c:pt>
                <c:pt idx="398">
                  <c:v>63.841799999999999</c:v>
                </c:pt>
                <c:pt idx="399">
                  <c:v>65.272199999999998</c:v>
                </c:pt>
                <c:pt idx="400">
                  <c:v>65.272199999999998</c:v>
                </c:pt>
                <c:pt idx="401">
                  <c:v>64.064499999999995</c:v>
                </c:pt>
                <c:pt idx="402">
                  <c:v>63.843299999999999</c:v>
                </c:pt>
                <c:pt idx="403">
                  <c:v>63.967399999999998</c:v>
                </c:pt>
                <c:pt idx="404">
                  <c:v>63.809100000000001</c:v>
                </c:pt>
                <c:pt idx="405">
                  <c:v>63.809100000000001</c:v>
                </c:pt>
                <c:pt idx="406">
                  <c:v>64.350200000000001</c:v>
                </c:pt>
                <c:pt idx="407">
                  <c:v>64.222099999999998</c:v>
                </c:pt>
                <c:pt idx="408">
                  <c:v>64.563999999999993</c:v>
                </c:pt>
                <c:pt idx="409">
                  <c:v>63.951000000000001</c:v>
                </c:pt>
                <c:pt idx="410">
                  <c:v>63.951000000000001</c:v>
                </c:pt>
                <c:pt idx="411">
                  <c:v>63.895400000000002</c:v>
                </c:pt>
                <c:pt idx="412">
                  <c:v>63.832500000000003</c:v>
                </c:pt>
                <c:pt idx="413">
                  <c:v>62.849299999999999</c:v>
                </c:pt>
                <c:pt idx="414">
                  <c:v>63.506799999999998</c:v>
                </c:pt>
                <c:pt idx="415">
                  <c:v>63.506799999999998</c:v>
                </c:pt>
                <c:pt idx="416">
                  <c:v>63.523600000000002</c:v>
                </c:pt>
                <c:pt idx="417">
                  <c:v>63.771599999999999</c:v>
                </c:pt>
                <c:pt idx="418">
                  <c:v>64.373000000000005</c:v>
                </c:pt>
                <c:pt idx="419">
                  <c:v>64.854799999999997</c:v>
                </c:pt>
                <c:pt idx="420">
                  <c:v>64.854799999999997</c:v>
                </c:pt>
                <c:pt idx="421">
                  <c:v>65.932900000000004</c:v>
                </c:pt>
                <c:pt idx="422">
                  <c:v>65.940200000000004</c:v>
                </c:pt>
                <c:pt idx="423">
                  <c:v>66.623699999999999</c:v>
                </c:pt>
                <c:pt idx="424">
                  <c:v>66.026200000000003</c:v>
                </c:pt>
                <c:pt idx="425">
                  <c:v>66.026200000000003</c:v>
                </c:pt>
                <c:pt idx="426">
                  <c:v>66.665700000000001</c:v>
                </c:pt>
                <c:pt idx="427">
                  <c:v>66.265600000000006</c:v>
                </c:pt>
                <c:pt idx="428">
                  <c:v>65.764700000000005</c:v>
                </c:pt>
                <c:pt idx="429">
                  <c:v>65.535499999999999</c:v>
                </c:pt>
                <c:pt idx="430">
                  <c:v>65.535499999999999</c:v>
                </c:pt>
                <c:pt idx="431">
                  <c:v>64.756399999999999</c:v>
                </c:pt>
                <c:pt idx="432">
                  <c:v>64.870699999999999</c:v>
                </c:pt>
                <c:pt idx="433">
                  <c:v>64.325900000000004</c:v>
                </c:pt>
                <c:pt idx="434">
                  <c:v>64.764700000000005</c:v>
                </c:pt>
                <c:pt idx="435">
                  <c:v>64.764700000000005</c:v>
                </c:pt>
                <c:pt idx="436">
                  <c:v>63.780299999999997</c:v>
                </c:pt>
                <c:pt idx="437">
                  <c:v>63.844499999999996</c:v>
                </c:pt>
                <c:pt idx="438">
                  <c:v>63.662300000000002</c:v>
                </c:pt>
                <c:pt idx="439">
                  <c:v>63.920400000000001</c:v>
                </c:pt>
                <c:pt idx="440">
                  <c:v>63.920400000000001</c:v>
                </c:pt>
                <c:pt idx="441">
                  <c:v>64.600399999999993</c:v>
                </c:pt>
                <c:pt idx="442">
                  <c:v>65.169300000000007</c:v>
                </c:pt>
                <c:pt idx="443">
                  <c:v>64.679699999999997</c:v>
                </c:pt>
                <c:pt idx="444">
                  <c:v>64.852800000000002</c:v>
                </c:pt>
                <c:pt idx="445">
                  <c:v>64.852800000000002</c:v>
                </c:pt>
                <c:pt idx="446">
                  <c:v>65.254999999999995</c:v>
                </c:pt>
                <c:pt idx="447">
                  <c:v>65.333399999999997</c:v>
                </c:pt>
                <c:pt idx="448">
                  <c:v>65.930000000000007</c:v>
                </c:pt>
                <c:pt idx="449">
                  <c:v>65.091499999999996</c:v>
                </c:pt>
                <c:pt idx="450">
                  <c:v>65.091499999999996</c:v>
                </c:pt>
                <c:pt idx="451">
                  <c:v>64.570099999999996</c:v>
                </c:pt>
                <c:pt idx="452">
                  <c:v>64.136200000000002</c:v>
                </c:pt>
                <c:pt idx="453">
                  <c:v>63.984900000000003</c:v>
                </c:pt>
                <c:pt idx="454">
                  <c:v>64.819000000000003</c:v>
                </c:pt>
                <c:pt idx="455">
                  <c:v>64.819000000000003</c:v>
                </c:pt>
                <c:pt idx="456">
                  <c:v>65.307299999999998</c:v>
                </c:pt>
                <c:pt idx="457">
                  <c:v>65.160399999999996</c:v>
                </c:pt>
                <c:pt idx="458">
                  <c:v>64.769300000000001</c:v>
                </c:pt>
                <c:pt idx="459">
                  <c:v>65.123500000000007</c:v>
                </c:pt>
                <c:pt idx="460">
                  <c:v>65.123500000000007</c:v>
                </c:pt>
                <c:pt idx="461">
                  <c:v>64.785600000000002</c:v>
                </c:pt>
                <c:pt idx="462">
                  <c:v>63.831400000000002</c:v>
                </c:pt>
                <c:pt idx="463">
                  <c:v>63.699199999999998</c:v>
                </c:pt>
                <c:pt idx="464">
                  <c:v>64.057400000000001</c:v>
                </c:pt>
                <c:pt idx="465">
                  <c:v>64.057400000000001</c:v>
                </c:pt>
                <c:pt idx="466">
                  <c:v>63.8536</c:v>
                </c:pt>
                <c:pt idx="467">
                  <c:v>63.03</c:v>
                </c:pt>
                <c:pt idx="468">
                  <c:v>63.095599999999997</c:v>
                </c:pt>
                <c:pt idx="469">
                  <c:v>62.849499999999999</c:v>
                </c:pt>
                <c:pt idx="470">
                  <c:v>62.849499999999999</c:v>
                </c:pt>
                <c:pt idx="471">
                  <c:v>62.679000000000002</c:v>
                </c:pt>
                <c:pt idx="472">
                  <c:v>62.419600000000003</c:v>
                </c:pt>
                <c:pt idx="473">
                  <c:v>62.103999999999999</c:v>
                </c:pt>
                <c:pt idx="474">
                  <c:v>62.268500000000003</c:v>
                </c:pt>
                <c:pt idx="475">
                  <c:v>62.268500000000003</c:v>
                </c:pt>
                <c:pt idx="476">
                  <c:v>62.691200000000002</c:v>
                </c:pt>
                <c:pt idx="477">
                  <c:v>63.0137</c:v>
                </c:pt>
                <c:pt idx="478">
                  <c:v>63.027000000000001</c:v>
                </c:pt>
                <c:pt idx="479">
                  <c:v>62.975000000000001</c:v>
                </c:pt>
                <c:pt idx="480">
                  <c:v>62.975000000000001</c:v>
                </c:pt>
                <c:pt idx="481">
                  <c:v>62.825499999999998</c:v>
                </c:pt>
                <c:pt idx="482">
                  <c:v>62.303100000000001</c:v>
                </c:pt>
                <c:pt idx="483">
                  <c:v>62.4788</c:v>
                </c:pt>
                <c:pt idx="484">
                  <c:v>62.372199999999999</c:v>
                </c:pt>
                <c:pt idx="485">
                  <c:v>62.372199999999999</c:v>
                </c:pt>
                <c:pt idx="486">
                  <c:v>62.247</c:v>
                </c:pt>
                <c:pt idx="487">
                  <c:v>62.895299999999999</c:v>
                </c:pt>
                <c:pt idx="488">
                  <c:v>62.713000000000001</c:v>
                </c:pt>
                <c:pt idx="489">
                  <c:v>63.009</c:v>
                </c:pt>
                <c:pt idx="490">
                  <c:v>63.009</c:v>
                </c:pt>
                <c:pt idx="491">
                  <c:v>63.320799999999998</c:v>
                </c:pt>
                <c:pt idx="492">
                  <c:v>63.511200000000002</c:v>
                </c:pt>
                <c:pt idx="493">
                  <c:v>63.578899999999997</c:v>
                </c:pt>
                <c:pt idx="494">
                  <c:v>63.578899999999997</c:v>
                </c:pt>
                <c:pt idx="495">
                  <c:v>63.765500000000003</c:v>
                </c:pt>
                <c:pt idx="496">
                  <c:v>63.876100000000001</c:v>
                </c:pt>
                <c:pt idx="497">
                  <c:v>65.518600000000006</c:v>
                </c:pt>
                <c:pt idx="498">
                  <c:v>65.763499999999993</c:v>
                </c:pt>
                <c:pt idx="499">
                  <c:v>65.763499999999993</c:v>
                </c:pt>
                <c:pt idx="500">
                  <c:v>64.174800000000005</c:v>
                </c:pt>
                <c:pt idx="501">
                  <c:v>64.758600000000001</c:v>
                </c:pt>
                <c:pt idx="502">
                  <c:v>64.831900000000005</c:v>
                </c:pt>
                <c:pt idx="503">
                  <c:v>64.7</c:v>
                </c:pt>
                <c:pt idx="504">
                  <c:v>64.7</c:v>
                </c:pt>
                <c:pt idx="505">
                  <c:v>63.773299999999999</c:v>
                </c:pt>
                <c:pt idx="506">
                  <c:v>64.470399999999998</c:v>
                </c:pt>
                <c:pt idx="507">
                  <c:v>64.48</c:v>
                </c:pt>
                <c:pt idx="508">
                  <c:v>64.953100000000006</c:v>
                </c:pt>
                <c:pt idx="509">
                  <c:v>64.953100000000006</c:v>
                </c:pt>
                <c:pt idx="510">
                  <c:v>65.107100000000003</c:v>
                </c:pt>
                <c:pt idx="511">
                  <c:v>64.139499999999998</c:v>
                </c:pt>
                <c:pt idx="512">
                  <c:v>63.974600000000002</c:v>
                </c:pt>
                <c:pt idx="513">
                  <c:v>63.8919</c:v>
                </c:pt>
                <c:pt idx="514">
                  <c:v>63.8919</c:v>
                </c:pt>
                <c:pt idx="515">
                  <c:v>63.878300000000003</c:v>
                </c:pt>
                <c:pt idx="516">
                  <c:v>63.212400000000002</c:v>
                </c:pt>
                <c:pt idx="517">
                  <c:v>63.275100000000002</c:v>
                </c:pt>
                <c:pt idx="518">
                  <c:v>62.499899999999997</c:v>
                </c:pt>
                <c:pt idx="519">
                  <c:v>62.499899999999997</c:v>
                </c:pt>
                <c:pt idx="520">
                  <c:v>60.608400000000003</c:v>
                </c:pt>
                <c:pt idx="521">
                  <c:v>62.095100000000002</c:v>
                </c:pt>
                <c:pt idx="522">
                  <c:v>61.742699999999999</c:v>
                </c:pt>
                <c:pt idx="523">
                  <c:v>62.091900000000003</c:v>
                </c:pt>
                <c:pt idx="524">
                  <c:v>62.091900000000003</c:v>
                </c:pt>
                <c:pt idx="525">
                  <c:v>61.453600000000002</c:v>
                </c:pt>
                <c:pt idx="526">
                  <c:v>61.156199999999998</c:v>
                </c:pt>
                <c:pt idx="527">
                  <c:v>60.953499999999998</c:v>
                </c:pt>
                <c:pt idx="528">
                  <c:v>61.0563</c:v>
                </c:pt>
                <c:pt idx="529">
                  <c:v>61.0563</c:v>
                </c:pt>
                <c:pt idx="530">
                  <c:v>60.679600000000001</c:v>
                </c:pt>
                <c:pt idx="531">
                  <c:v>60.322899999999997</c:v>
                </c:pt>
                <c:pt idx="532">
                  <c:v>60.419699999999999</c:v>
                </c:pt>
                <c:pt idx="533">
                  <c:v>61.266800000000003</c:v>
                </c:pt>
                <c:pt idx="534">
                  <c:v>61.266800000000003</c:v>
                </c:pt>
                <c:pt idx="535">
                  <c:v>60.1556</c:v>
                </c:pt>
                <c:pt idx="536">
                  <c:v>59.7455</c:v>
                </c:pt>
                <c:pt idx="537">
                  <c:v>59.353499999999997</c:v>
                </c:pt>
                <c:pt idx="538">
                  <c:v>59.677999999999997</c:v>
                </c:pt>
                <c:pt idx="539">
                  <c:v>59.677999999999997</c:v>
                </c:pt>
                <c:pt idx="540">
                  <c:v>59.407499999999999</c:v>
                </c:pt>
                <c:pt idx="541">
                  <c:v>59.560099999999998</c:v>
                </c:pt>
                <c:pt idx="542">
                  <c:v>59.734099999999998</c:v>
                </c:pt>
                <c:pt idx="543">
                  <c:v>59.7502</c:v>
                </c:pt>
                <c:pt idx="544">
                  <c:v>59.7502</c:v>
                </c:pt>
                <c:pt idx="545">
                  <c:v>59.250700000000002</c:v>
                </c:pt>
                <c:pt idx="546">
                  <c:v>59.5246</c:v>
                </c:pt>
                <c:pt idx="547">
                  <c:v>60.442100000000003</c:v>
                </c:pt>
                <c:pt idx="548">
                  <c:v>59.820900000000002</c:v>
                </c:pt>
                <c:pt idx="549">
                  <c:v>59.820900000000002</c:v>
                </c:pt>
                <c:pt idx="550">
                  <c:v>60.165999999999997</c:v>
                </c:pt>
              </c:numCache>
            </c:numRef>
          </c:yVal>
          <c:smooth val="0"/>
          <c:extLst xmlns:c16r2="http://schemas.microsoft.com/office/drawing/2015/06/chart">
            <c:ext xmlns:c16="http://schemas.microsoft.com/office/drawing/2014/chart" uri="{C3380CC4-5D6E-409C-BE32-E72D297353CC}">
              <c16:uniqueId val="{00000000-B985-4AC6-88F8-503445946A4F}"/>
            </c:ext>
          </c:extLst>
        </c:ser>
        <c:ser>
          <c:idx val="2"/>
          <c:order val="1"/>
          <c:tx>
            <c:v>фев'2017-н/вр</c:v>
          </c:tx>
          <c:spPr>
            <a:ln w="9525">
              <a:noFill/>
            </a:ln>
          </c:spPr>
          <c:marker>
            <c:symbol val="circle"/>
            <c:size val="2"/>
            <c:spPr>
              <a:solidFill>
                <a:srgbClr val="9BBB59">
                  <a:lumMod val="50000"/>
                </a:srgbClr>
              </a:solidFill>
              <a:ln>
                <a:noFill/>
              </a:ln>
            </c:spPr>
          </c:marker>
          <c:xVal>
            <c:numRef>
              <c:f>'[monitor.xlsx]Лист1 (2)'!$C$2501:$C$2827</c:f>
              <c:numCache>
                <c:formatCode>General</c:formatCode>
                <c:ptCount val="327"/>
                <c:pt idx="0">
                  <c:v>56.14</c:v>
                </c:pt>
                <c:pt idx="1">
                  <c:v>56.37</c:v>
                </c:pt>
                <c:pt idx="2">
                  <c:v>56.46</c:v>
                </c:pt>
                <c:pt idx="3">
                  <c:v>56.46</c:v>
                </c:pt>
                <c:pt idx="4">
                  <c:v>53.93</c:v>
                </c:pt>
                <c:pt idx="5">
                  <c:v>54.61</c:v>
                </c:pt>
                <c:pt idx="6">
                  <c:v>55.23</c:v>
                </c:pt>
                <c:pt idx="7">
                  <c:v>56</c:v>
                </c:pt>
                <c:pt idx="8">
                  <c:v>56</c:v>
                </c:pt>
                <c:pt idx="9">
                  <c:v>55.14</c:v>
                </c:pt>
                <c:pt idx="10">
                  <c:v>55.07</c:v>
                </c:pt>
                <c:pt idx="11">
                  <c:v>55.08</c:v>
                </c:pt>
                <c:pt idx="12">
                  <c:v>55.09</c:v>
                </c:pt>
                <c:pt idx="13">
                  <c:v>55.09</c:v>
                </c:pt>
                <c:pt idx="14">
                  <c:v>56.11</c:v>
                </c:pt>
                <c:pt idx="15">
                  <c:v>55.9</c:v>
                </c:pt>
                <c:pt idx="16">
                  <c:v>56.2</c:v>
                </c:pt>
                <c:pt idx="17">
                  <c:v>55.56</c:v>
                </c:pt>
                <c:pt idx="18">
                  <c:v>55.65</c:v>
                </c:pt>
                <c:pt idx="19">
                  <c:v>54.39</c:v>
                </c:pt>
                <c:pt idx="20">
                  <c:v>55</c:v>
                </c:pt>
                <c:pt idx="21">
                  <c:v>55</c:v>
                </c:pt>
                <c:pt idx="22">
                  <c:v>54.82</c:v>
                </c:pt>
                <c:pt idx="23">
                  <c:v>52.54</c:v>
                </c:pt>
                <c:pt idx="24">
                  <c:v>50.66</c:v>
                </c:pt>
                <c:pt idx="25">
                  <c:v>50.66</c:v>
                </c:pt>
                <c:pt idx="26">
                  <c:v>51.04</c:v>
                </c:pt>
                <c:pt idx="27">
                  <c:v>51.5</c:v>
                </c:pt>
                <c:pt idx="28">
                  <c:v>51.2</c:v>
                </c:pt>
                <c:pt idx="29">
                  <c:v>51.22</c:v>
                </c:pt>
                <c:pt idx="30">
                  <c:v>51.22</c:v>
                </c:pt>
                <c:pt idx="31">
                  <c:v>50.32</c:v>
                </c:pt>
                <c:pt idx="32">
                  <c:v>50.14</c:v>
                </c:pt>
                <c:pt idx="33">
                  <c:v>49.92</c:v>
                </c:pt>
                <c:pt idx="34">
                  <c:v>50.49</c:v>
                </c:pt>
                <c:pt idx="35">
                  <c:v>50.3</c:v>
                </c:pt>
                <c:pt idx="36">
                  <c:v>50.65</c:v>
                </c:pt>
                <c:pt idx="37">
                  <c:v>51.66</c:v>
                </c:pt>
                <c:pt idx="38">
                  <c:v>52.16</c:v>
                </c:pt>
                <c:pt idx="39">
                  <c:v>52.71</c:v>
                </c:pt>
                <c:pt idx="40">
                  <c:v>52.3</c:v>
                </c:pt>
                <c:pt idx="41">
                  <c:v>53.39</c:v>
                </c:pt>
                <c:pt idx="42">
                  <c:v>53.13</c:v>
                </c:pt>
                <c:pt idx="43">
                  <c:v>54.06</c:v>
                </c:pt>
                <c:pt idx="44">
                  <c:v>54.24</c:v>
                </c:pt>
                <c:pt idx="45">
                  <c:v>55.18</c:v>
                </c:pt>
                <c:pt idx="46">
                  <c:v>55.33</c:v>
                </c:pt>
                <c:pt idx="47">
                  <c:v>54.73</c:v>
                </c:pt>
                <c:pt idx="48">
                  <c:v>54.7</c:v>
                </c:pt>
                <c:pt idx="49">
                  <c:v>54.7</c:v>
                </c:pt>
                <c:pt idx="50">
                  <c:v>54.8</c:v>
                </c:pt>
                <c:pt idx="51">
                  <c:v>54.09</c:v>
                </c:pt>
                <c:pt idx="52">
                  <c:v>52.27</c:v>
                </c:pt>
                <c:pt idx="53">
                  <c:v>51.96</c:v>
                </c:pt>
                <c:pt idx="54">
                  <c:v>51.15</c:v>
                </c:pt>
                <c:pt idx="55">
                  <c:v>51.12</c:v>
                </c:pt>
                <c:pt idx="56">
                  <c:v>51.38</c:v>
                </c:pt>
                <c:pt idx="57">
                  <c:v>51.11</c:v>
                </c:pt>
                <c:pt idx="58">
                  <c:v>50.75</c:v>
                </c:pt>
                <c:pt idx="59">
                  <c:v>50.88</c:v>
                </c:pt>
                <c:pt idx="60">
                  <c:v>50.59</c:v>
                </c:pt>
                <c:pt idx="61">
                  <c:v>49.99</c:v>
                </c:pt>
                <c:pt idx="62">
                  <c:v>47.76</c:v>
                </c:pt>
                <c:pt idx="63">
                  <c:v>48.89</c:v>
                </c:pt>
                <c:pt idx="64">
                  <c:v>49.68</c:v>
                </c:pt>
                <c:pt idx="65">
                  <c:v>50.18</c:v>
                </c:pt>
                <c:pt idx="66">
                  <c:v>50.32</c:v>
                </c:pt>
                <c:pt idx="67">
                  <c:v>51.31</c:v>
                </c:pt>
                <c:pt idx="68">
                  <c:v>50.76</c:v>
                </c:pt>
                <c:pt idx="69">
                  <c:v>51.43</c:v>
                </c:pt>
                <c:pt idx="70">
                  <c:v>51.95</c:v>
                </c:pt>
                <c:pt idx="71">
                  <c:v>53.36</c:v>
                </c:pt>
                <c:pt idx="72">
                  <c:v>53.31</c:v>
                </c:pt>
                <c:pt idx="73">
                  <c:v>53.66</c:v>
                </c:pt>
                <c:pt idx="74">
                  <c:v>53.39</c:v>
                </c:pt>
                <c:pt idx="75">
                  <c:v>50.84</c:v>
                </c:pt>
                <c:pt idx="76">
                  <c:v>51.75</c:v>
                </c:pt>
                <c:pt idx="77">
                  <c:v>51.78</c:v>
                </c:pt>
                <c:pt idx="78">
                  <c:v>51.29</c:v>
                </c:pt>
                <c:pt idx="79">
                  <c:v>50.08</c:v>
                </c:pt>
                <c:pt idx="80">
                  <c:v>49.66</c:v>
                </c:pt>
                <c:pt idx="81">
                  <c:v>49.35</c:v>
                </c:pt>
                <c:pt idx="82">
                  <c:v>48.81</c:v>
                </c:pt>
                <c:pt idx="83">
                  <c:v>49.18</c:v>
                </c:pt>
                <c:pt idx="84">
                  <c:v>47.48</c:v>
                </c:pt>
                <c:pt idx="85">
                  <c:v>47.09</c:v>
                </c:pt>
                <c:pt idx="86">
                  <c:v>47.55</c:v>
                </c:pt>
                <c:pt idx="87">
                  <c:v>47.38</c:v>
                </c:pt>
                <c:pt idx="88">
                  <c:v>46.23</c:v>
                </c:pt>
                <c:pt idx="89">
                  <c:v>46.04</c:v>
                </c:pt>
                <c:pt idx="90">
                  <c:v>46.65</c:v>
                </c:pt>
                <c:pt idx="91">
                  <c:v>46.3</c:v>
                </c:pt>
                <c:pt idx="92">
                  <c:v>45.22</c:v>
                </c:pt>
                <c:pt idx="93">
                  <c:v>44.21</c:v>
                </c:pt>
                <c:pt idx="94">
                  <c:v>44.73</c:v>
                </c:pt>
                <c:pt idx="95">
                  <c:v>45.18</c:v>
                </c:pt>
                <c:pt idx="96">
                  <c:v>45.44</c:v>
                </c:pt>
                <c:pt idx="97">
                  <c:v>45.7</c:v>
                </c:pt>
                <c:pt idx="98">
                  <c:v>46.97</c:v>
                </c:pt>
                <c:pt idx="99">
                  <c:v>46.79</c:v>
                </c:pt>
                <c:pt idx="100">
                  <c:v>48.23</c:v>
                </c:pt>
                <c:pt idx="101">
                  <c:v>49.1</c:v>
                </c:pt>
                <c:pt idx="102">
                  <c:v>49.25</c:v>
                </c:pt>
                <c:pt idx="103">
                  <c:v>47.78</c:v>
                </c:pt>
                <c:pt idx="104">
                  <c:v>47.57</c:v>
                </c:pt>
                <c:pt idx="105">
                  <c:v>46.53</c:v>
                </c:pt>
                <c:pt idx="106">
                  <c:v>46.53</c:v>
                </c:pt>
                <c:pt idx="107">
                  <c:v>47.52</c:v>
                </c:pt>
                <c:pt idx="108">
                  <c:v>47.05</c:v>
                </c:pt>
                <c:pt idx="109">
                  <c:v>47.78</c:v>
                </c:pt>
                <c:pt idx="110">
                  <c:v>48.58</c:v>
                </c:pt>
                <c:pt idx="111">
                  <c:v>47.75</c:v>
                </c:pt>
                <c:pt idx="112">
                  <c:v>48.11</c:v>
                </c:pt>
                <c:pt idx="113">
                  <c:v>49.13</c:v>
                </c:pt>
                <c:pt idx="114">
                  <c:v>48.69</c:v>
                </c:pt>
                <c:pt idx="115">
                  <c:v>47.39</c:v>
                </c:pt>
                <c:pt idx="116">
                  <c:v>48.23</c:v>
                </c:pt>
                <c:pt idx="117">
                  <c:v>50.26</c:v>
                </c:pt>
                <c:pt idx="118">
                  <c:v>50.43</c:v>
                </c:pt>
                <c:pt idx="119">
                  <c:v>50.98</c:v>
                </c:pt>
                <c:pt idx="120">
                  <c:v>51.66</c:v>
                </c:pt>
                <c:pt idx="121">
                  <c:v>52.17</c:v>
                </c:pt>
                <c:pt idx="122">
                  <c:v>51.03</c:v>
                </c:pt>
                <c:pt idx="123">
                  <c:v>51.86</c:v>
                </c:pt>
                <c:pt idx="124">
                  <c:v>51.42</c:v>
                </c:pt>
                <c:pt idx="125">
                  <c:v>51.9</c:v>
                </c:pt>
                <c:pt idx="126">
                  <c:v>51.83</c:v>
                </c:pt>
                <c:pt idx="127">
                  <c:v>51.54</c:v>
                </c:pt>
                <c:pt idx="128">
                  <c:v>52.34</c:v>
                </c:pt>
                <c:pt idx="129">
                  <c:v>51.42</c:v>
                </c:pt>
                <c:pt idx="130">
                  <c:v>51.75</c:v>
                </c:pt>
                <c:pt idx="131">
                  <c:v>50.32</c:v>
                </c:pt>
                <c:pt idx="132">
                  <c:v>50.52</c:v>
                </c:pt>
                <c:pt idx="133">
                  <c:v>49.94</c:v>
                </c:pt>
                <c:pt idx="134">
                  <c:v>50.34</c:v>
                </c:pt>
                <c:pt idx="135">
                  <c:v>52.47</c:v>
                </c:pt>
                <c:pt idx="136">
                  <c:v>51.24</c:v>
                </c:pt>
                <c:pt idx="137">
                  <c:v>51.14</c:v>
                </c:pt>
                <c:pt idx="138">
                  <c:v>51.83</c:v>
                </c:pt>
                <c:pt idx="139">
                  <c:v>51.52</c:v>
                </c:pt>
                <c:pt idx="140">
                  <c:v>51.7</c:v>
                </c:pt>
                <c:pt idx="141">
                  <c:v>51.32</c:v>
                </c:pt>
                <c:pt idx="142">
                  <c:v>51.35</c:v>
                </c:pt>
                <c:pt idx="143">
                  <c:v>50.31</c:v>
                </c:pt>
                <c:pt idx="144">
                  <c:v>52.41</c:v>
                </c:pt>
                <c:pt idx="145">
                  <c:v>52.41</c:v>
                </c:pt>
                <c:pt idx="146">
                  <c:v>51.87</c:v>
                </c:pt>
                <c:pt idx="147">
                  <c:v>52.9</c:v>
                </c:pt>
                <c:pt idx="148">
                  <c:v>53.83</c:v>
                </c:pt>
                <c:pt idx="149">
                  <c:v>54.27</c:v>
                </c:pt>
                <c:pt idx="150">
                  <c:v>53.58</c:v>
                </c:pt>
                <c:pt idx="151">
                  <c:v>53.76</c:v>
                </c:pt>
                <c:pt idx="152">
                  <c:v>54.1</c:v>
                </c:pt>
                <c:pt idx="153">
                  <c:v>54.9</c:v>
                </c:pt>
                <c:pt idx="154">
                  <c:v>55.09</c:v>
                </c:pt>
                <c:pt idx="155">
                  <c:v>55.3</c:v>
                </c:pt>
                <c:pt idx="156">
                  <c:v>55.08</c:v>
                </c:pt>
                <c:pt idx="157">
                  <c:v>54.9</c:v>
                </c:pt>
                <c:pt idx="158">
                  <c:v>55.68</c:v>
                </c:pt>
                <c:pt idx="159">
                  <c:v>55.92</c:v>
                </c:pt>
                <c:pt idx="160">
                  <c:v>56.64</c:v>
                </c:pt>
                <c:pt idx="161">
                  <c:v>58.86</c:v>
                </c:pt>
                <c:pt idx="162">
                  <c:v>57.95</c:v>
                </c:pt>
                <c:pt idx="163">
                  <c:v>57.49</c:v>
                </c:pt>
                <c:pt idx="164">
                  <c:v>57.36</c:v>
                </c:pt>
                <c:pt idx="165">
                  <c:v>56.53</c:v>
                </c:pt>
                <c:pt idx="166">
                  <c:v>56.03</c:v>
                </c:pt>
                <c:pt idx="167">
                  <c:v>55.79</c:v>
                </c:pt>
                <c:pt idx="168">
                  <c:v>55.82</c:v>
                </c:pt>
                <c:pt idx="169">
                  <c:v>57.09</c:v>
                </c:pt>
                <c:pt idx="170">
                  <c:v>55.65</c:v>
                </c:pt>
                <c:pt idx="171">
                  <c:v>55.69</c:v>
                </c:pt>
                <c:pt idx="172">
                  <c:v>56.49</c:v>
                </c:pt>
                <c:pt idx="173">
                  <c:v>56.58</c:v>
                </c:pt>
                <c:pt idx="174">
                  <c:v>56.3</c:v>
                </c:pt>
                <c:pt idx="175">
                  <c:v>57.07</c:v>
                </c:pt>
                <c:pt idx="176">
                  <c:v>57.92</c:v>
                </c:pt>
                <c:pt idx="177">
                  <c:v>58.19</c:v>
                </c:pt>
                <c:pt idx="178">
                  <c:v>58.44</c:v>
                </c:pt>
                <c:pt idx="179">
                  <c:v>57.57</c:v>
                </c:pt>
                <c:pt idx="180">
                  <c:v>58.2</c:v>
                </c:pt>
                <c:pt idx="181">
                  <c:v>57.35</c:v>
                </c:pt>
                <c:pt idx="182">
                  <c:v>58.13</c:v>
                </c:pt>
                <c:pt idx="183">
                  <c:v>58.19</c:v>
                </c:pt>
                <c:pt idx="184">
                  <c:v>59.17</c:v>
                </c:pt>
                <c:pt idx="185">
                  <c:v>60.34</c:v>
                </c:pt>
                <c:pt idx="186">
                  <c:v>60.64</c:v>
                </c:pt>
                <c:pt idx="187">
                  <c:v>60.94</c:v>
                </c:pt>
                <c:pt idx="188">
                  <c:v>60.48</c:v>
                </c:pt>
                <c:pt idx="189">
                  <c:v>60.63</c:v>
                </c:pt>
                <c:pt idx="190">
                  <c:v>62.02</c:v>
                </c:pt>
                <c:pt idx="191">
                  <c:v>63.63</c:v>
                </c:pt>
                <c:pt idx="192">
                  <c:v>63.43</c:v>
                </c:pt>
                <c:pt idx="193">
                  <c:v>63.71</c:v>
                </c:pt>
                <c:pt idx="194">
                  <c:v>63.49</c:v>
                </c:pt>
                <c:pt idx="195">
                  <c:v>62.83</c:v>
                </c:pt>
                <c:pt idx="196">
                  <c:v>60.98</c:v>
                </c:pt>
                <c:pt idx="197">
                  <c:v>61.54</c:v>
                </c:pt>
                <c:pt idx="198">
                  <c:v>61.06</c:v>
                </c:pt>
                <c:pt idx="199">
                  <c:v>62.32</c:v>
                </c:pt>
                <c:pt idx="200">
                  <c:v>61.97</c:v>
                </c:pt>
                <c:pt idx="201">
                  <c:v>62.51</c:v>
                </c:pt>
                <c:pt idx="202">
                  <c:v>63.14</c:v>
                </c:pt>
                <c:pt idx="203">
                  <c:v>63.26</c:v>
                </c:pt>
                <c:pt idx="204">
                  <c:v>63.48</c:v>
                </c:pt>
                <c:pt idx="205">
                  <c:v>63.48</c:v>
                </c:pt>
                <c:pt idx="206">
                  <c:v>63.06</c:v>
                </c:pt>
                <c:pt idx="207">
                  <c:v>62.72</c:v>
                </c:pt>
                <c:pt idx="208">
                  <c:v>62.78</c:v>
                </c:pt>
                <c:pt idx="209">
                  <c:v>63.67</c:v>
                </c:pt>
                <c:pt idx="210">
                  <c:v>62.39</c:v>
                </c:pt>
                <c:pt idx="211">
                  <c:v>62.62</c:v>
                </c:pt>
                <c:pt idx="212">
                  <c:v>61.31</c:v>
                </c:pt>
                <c:pt idx="213">
                  <c:v>61.69</c:v>
                </c:pt>
                <c:pt idx="214">
                  <c:v>63.31</c:v>
                </c:pt>
                <c:pt idx="215">
                  <c:v>63.31</c:v>
                </c:pt>
                <c:pt idx="216">
                  <c:v>63.85</c:v>
                </c:pt>
                <c:pt idx="217">
                  <c:v>62.67</c:v>
                </c:pt>
                <c:pt idx="218">
                  <c:v>62.83</c:v>
                </c:pt>
                <c:pt idx="219">
                  <c:v>62.83</c:v>
                </c:pt>
                <c:pt idx="220">
                  <c:v>62.83</c:v>
                </c:pt>
                <c:pt idx="221">
                  <c:v>63.85</c:v>
                </c:pt>
                <c:pt idx="222">
                  <c:v>63.89</c:v>
                </c:pt>
                <c:pt idx="223">
                  <c:v>64.760000000000005</c:v>
                </c:pt>
                <c:pt idx="224">
                  <c:v>65.19</c:v>
                </c:pt>
                <c:pt idx="225">
                  <c:v>65.19</c:v>
                </c:pt>
                <c:pt idx="226">
                  <c:v>66.67</c:v>
                </c:pt>
                <c:pt idx="227">
                  <c:v>66.349999999999994</c:v>
                </c:pt>
                <c:pt idx="228">
                  <c:v>66.55</c:v>
                </c:pt>
                <c:pt idx="229">
                  <c:v>66.56</c:v>
                </c:pt>
                <c:pt idx="230">
                  <c:v>66.56</c:v>
                </c:pt>
                <c:pt idx="231">
                  <c:v>69.540000000000006</c:v>
                </c:pt>
                <c:pt idx="232">
                  <c:v>70.110000000000014</c:v>
                </c:pt>
                <c:pt idx="233">
                  <c:v>69.314999999999998</c:v>
                </c:pt>
                <c:pt idx="234">
                  <c:v>69.314999999999998</c:v>
                </c:pt>
                <c:pt idx="235">
                  <c:v>68.84</c:v>
                </c:pt>
                <c:pt idx="236">
                  <c:v>68.63</c:v>
                </c:pt>
                <c:pt idx="237">
                  <c:v>69.080000000000013</c:v>
                </c:pt>
                <c:pt idx="238">
                  <c:v>67.86</c:v>
                </c:pt>
                <c:pt idx="239">
                  <c:v>67.86</c:v>
                </c:pt>
                <c:pt idx="240">
                  <c:v>69.010000000000005</c:v>
                </c:pt>
                <c:pt idx="241">
                  <c:v>69.135000000000005</c:v>
                </c:pt>
                <c:pt idx="242">
                  <c:v>70.304999999999993</c:v>
                </c:pt>
                <c:pt idx="243">
                  <c:v>69.22999999999999</c:v>
                </c:pt>
                <c:pt idx="244">
                  <c:v>69.22999999999999</c:v>
                </c:pt>
                <c:pt idx="245">
                  <c:v>66.754999999999995</c:v>
                </c:pt>
                <c:pt idx="246">
                  <c:v>66.944999999999993</c:v>
                </c:pt>
                <c:pt idx="247">
                  <c:v>67.25</c:v>
                </c:pt>
                <c:pt idx="248">
                  <c:v>66.099999999999994</c:v>
                </c:pt>
                <c:pt idx="249">
                  <c:v>66.099999999999994</c:v>
                </c:pt>
                <c:pt idx="250">
                  <c:v>65.150000000000006</c:v>
                </c:pt>
                <c:pt idx="251">
                  <c:v>64.015000000000001</c:v>
                </c:pt>
                <c:pt idx="252">
                  <c:v>62.410000000000004</c:v>
                </c:pt>
                <c:pt idx="253">
                  <c:v>61.19</c:v>
                </c:pt>
                <c:pt idx="254">
                  <c:v>61.19</c:v>
                </c:pt>
                <c:pt idx="255">
                  <c:v>59.865000000000002</c:v>
                </c:pt>
                <c:pt idx="256">
                  <c:v>60.139999999999993</c:v>
                </c:pt>
                <c:pt idx="257">
                  <c:v>60.71</c:v>
                </c:pt>
                <c:pt idx="258">
                  <c:v>62.1</c:v>
                </c:pt>
                <c:pt idx="259">
                  <c:v>62.1</c:v>
                </c:pt>
                <c:pt idx="260">
                  <c:v>62.305000000000007</c:v>
                </c:pt>
                <c:pt idx="261">
                  <c:v>62.491999999999997</c:v>
                </c:pt>
                <c:pt idx="262">
                  <c:v>63.745000000000005</c:v>
                </c:pt>
                <c:pt idx="263">
                  <c:v>64.59</c:v>
                </c:pt>
                <c:pt idx="264">
                  <c:v>65.365000000000009</c:v>
                </c:pt>
                <c:pt idx="265">
                  <c:v>63.924999999999997</c:v>
                </c:pt>
                <c:pt idx="266">
                  <c:v>62.005000000000003</c:v>
                </c:pt>
                <c:pt idx="267">
                  <c:v>61.910000000000004</c:v>
                </c:pt>
                <c:pt idx="268">
                  <c:v>61.910000000000004</c:v>
                </c:pt>
                <c:pt idx="269">
                  <c:v>62.944999999999993</c:v>
                </c:pt>
                <c:pt idx="270">
                  <c:v>62.415000000000006</c:v>
                </c:pt>
                <c:pt idx="271">
                  <c:v>61.045000000000002</c:v>
                </c:pt>
                <c:pt idx="272">
                  <c:v>61.375</c:v>
                </c:pt>
                <c:pt idx="273">
                  <c:v>60.792000000000002</c:v>
                </c:pt>
                <c:pt idx="274">
                  <c:v>61.12</c:v>
                </c:pt>
                <c:pt idx="275">
                  <c:v>62.28</c:v>
                </c:pt>
                <c:pt idx="276">
                  <c:v>62.47</c:v>
                </c:pt>
                <c:pt idx="277">
                  <c:v>63.650000000000006</c:v>
                </c:pt>
                <c:pt idx="278">
                  <c:v>65.824999999999989</c:v>
                </c:pt>
                <c:pt idx="279">
                  <c:v>67.13</c:v>
                </c:pt>
                <c:pt idx="280">
                  <c:v>67.254999999999995</c:v>
                </c:pt>
                <c:pt idx="281">
                  <c:v>67.06</c:v>
                </c:pt>
                <c:pt idx="282">
                  <c:v>66.905000000000001</c:v>
                </c:pt>
                <c:pt idx="283">
                  <c:v>66.405000000000001</c:v>
                </c:pt>
                <c:pt idx="284">
                  <c:v>67.295000000000002</c:v>
                </c:pt>
                <c:pt idx="285">
                  <c:v>67.295000000000002</c:v>
                </c:pt>
                <c:pt idx="286">
                  <c:v>67.295000000000002</c:v>
                </c:pt>
                <c:pt idx="287">
                  <c:v>65.365000000000009</c:v>
                </c:pt>
                <c:pt idx="288">
                  <c:v>63.664999999999992</c:v>
                </c:pt>
                <c:pt idx="289">
                  <c:v>64.265000000000015</c:v>
                </c:pt>
                <c:pt idx="290">
                  <c:v>64.459999999999994</c:v>
                </c:pt>
                <c:pt idx="291">
                  <c:v>66.040000000000006</c:v>
                </c:pt>
                <c:pt idx="292">
                  <c:v>68.150000000000006</c:v>
                </c:pt>
                <c:pt idx="293">
                  <c:v>70.564999999999998</c:v>
                </c:pt>
                <c:pt idx="294">
                  <c:v>68.665000000000006</c:v>
                </c:pt>
                <c:pt idx="295">
                  <c:v>70.180000000000007</c:v>
                </c:pt>
                <c:pt idx="296">
                  <c:v>69.050000000000011</c:v>
                </c:pt>
                <c:pt idx="297">
                  <c:v>68.91</c:v>
                </c:pt>
                <c:pt idx="298">
                  <c:v>71.004999999999995</c:v>
                </c:pt>
                <c:pt idx="299">
                  <c:v>71.949999999999989</c:v>
                </c:pt>
                <c:pt idx="300">
                  <c:v>71.72</c:v>
                </c:pt>
                <c:pt idx="301">
                  <c:v>71.72</c:v>
                </c:pt>
                <c:pt idx="302">
                  <c:v>73.010000000000005</c:v>
                </c:pt>
                <c:pt idx="303">
                  <c:v>70.94</c:v>
                </c:pt>
                <c:pt idx="304">
                  <c:v>72.364999999999995</c:v>
                </c:pt>
                <c:pt idx="305">
                  <c:v>72.33</c:v>
                </c:pt>
                <c:pt idx="306">
                  <c:v>72.33</c:v>
                </c:pt>
                <c:pt idx="307">
                  <c:v>72.33</c:v>
                </c:pt>
                <c:pt idx="308">
                  <c:v>71.849999999999994</c:v>
                </c:pt>
                <c:pt idx="309">
                  <c:v>71.849999999999994</c:v>
                </c:pt>
                <c:pt idx="310">
                  <c:v>71.41</c:v>
                </c:pt>
                <c:pt idx="311">
                  <c:v>74.849999999999994</c:v>
                </c:pt>
                <c:pt idx="312">
                  <c:v>75.094999999999999</c:v>
                </c:pt>
                <c:pt idx="313">
                  <c:v>75.094999999999999</c:v>
                </c:pt>
                <c:pt idx="314">
                  <c:v>76.915000000000006</c:v>
                </c:pt>
                <c:pt idx="315">
                  <c:v>76.615000000000009</c:v>
                </c:pt>
                <c:pt idx="316">
                  <c:v>78.664999999999992</c:v>
                </c:pt>
                <c:pt idx="317">
                  <c:v>77.13</c:v>
                </c:pt>
                <c:pt idx="318">
                  <c:v>77.13</c:v>
                </c:pt>
                <c:pt idx="319">
                  <c:v>79.37</c:v>
                </c:pt>
                <c:pt idx="320">
                  <c:v>77.84</c:v>
                </c:pt>
                <c:pt idx="321">
                  <c:v>78.05</c:v>
                </c:pt>
                <c:pt idx="322">
                  <c:v>75.650000000000006</c:v>
                </c:pt>
                <c:pt idx="323">
                  <c:v>75.650000000000006</c:v>
                </c:pt>
                <c:pt idx="324">
                  <c:v>73.56</c:v>
                </c:pt>
                <c:pt idx="325">
                  <c:v>74.865000000000009</c:v>
                </c:pt>
                <c:pt idx="326">
                  <c:v>75.425000000000011</c:v>
                </c:pt>
              </c:numCache>
            </c:numRef>
          </c:xVal>
          <c:yVal>
            <c:numRef>
              <c:f>'[monitor.xlsx]Лист1 (2)'!$B$2501:$B$2827</c:f>
              <c:numCache>
                <c:formatCode>0.00</c:formatCode>
                <c:ptCount val="327"/>
                <c:pt idx="0">
                  <c:v>60.123699999999999</c:v>
                </c:pt>
                <c:pt idx="1">
                  <c:v>59.413499999999999</c:v>
                </c:pt>
                <c:pt idx="2">
                  <c:v>58.962200000000003</c:v>
                </c:pt>
                <c:pt idx="3">
                  <c:v>58.962200000000003</c:v>
                </c:pt>
                <c:pt idx="4">
                  <c:v>59.344099999999997</c:v>
                </c:pt>
                <c:pt idx="5">
                  <c:v>59.233899999999998</c:v>
                </c:pt>
                <c:pt idx="6">
                  <c:v>58.970300000000002</c:v>
                </c:pt>
                <c:pt idx="7">
                  <c:v>58.256700000000002</c:v>
                </c:pt>
                <c:pt idx="8">
                  <c:v>58.256700000000002</c:v>
                </c:pt>
                <c:pt idx="9">
                  <c:v>57.127299999999998</c:v>
                </c:pt>
                <c:pt idx="10">
                  <c:v>57.2545</c:v>
                </c:pt>
                <c:pt idx="11">
                  <c:v>57.593400000000003</c:v>
                </c:pt>
                <c:pt idx="12">
                  <c:v>58.4497</c:v>
                </c:pt>
                <c:pt idx="13">
                  <c:v>58.4497</c:v>
                </c:pt>
                <c:pt idx="14">
                  <c:v>57.426200000000001</c:v>
                </c:pt>
                <c:pt idx="15">
                  <c:v>58.072400000000002</c:v>
                </c:pt>
                <c:pt idx="16">
                  <c:v>58.072400000000002</c:v>
                </c:pt>
                <c:pt idx="17">
                  <c:v>58.314</c:v>
                </c:pt>
                <c:pt idx="18">
                  <c:v>58.2866</c:v>
                </c:pt>
                <c:pt idx="19">
                  <c:v>58.8446</c:v>
                </c:pt>
                <c:pt idx="20">
                  <c:v>58.217399999999998</c:v>
                </c:pt>
                <c:pt idx="21">
                  <c:v>58.217399999999998</c:v>
                </c:pt>
                <c:pt idx="22">
                  <c:v>58.1798</c:v>
                </c:pt>
                <c:pt idx="23">
                  <c:v>58.1798</c:v>
                </c:pt>
                <c:pt idx="24">
                  <c:v>58.9938</c:v>
                </c:pt>
                <c:pt idx="25">
                  <c:v>58.9938</c:v>
                </c:pt>
                <c:pt idx="26">
                  <c:v>59.1723</c:v>
                </c:pt>
                <c:pt idx="27">
                  <c:v>58.389899999999997</c:v>
                </c:pt>
                <c:pt idx="28">
                  <c:v>57.786299999999997</c:v>
                </c:pt>
                <c:pt idx="29">
                  <c:v>57.234900000000003</c:v>
                </c:pt>
                <c:pt idx="30">
                  <c:v>57.234900000000003</c:v>
                </c:pt>
                <c:pt idx="31">
                  <c:v>57.691800000000001</c:v>
                </c:pt>
                <c:pt idx="32">
                  <c:v>57.7851</c:v>
                </c:pt>
                <c:pt idx="33">
                  <c:v>57.444499999999998</c:v>
                </c:pt>
                <c:pt idx="34">
                  <c:v>56.9176</c:v>
                </c:pt>
                <c:pt idx="35">
                  <c:v>56.914200000000001</c:v>
                </c:pt>
                <c:pt idx="36">
                  <c:v>57.031799999999997</c:v>
                </c:pt>
                <c:pt idx="37">
                  <c:v>56.621200000000002</c:v>
                </c:pt>
                <c:pt idx="38">
                  <c:v>56.082099999999997</c:v>
                </c:pt>
                <c:pt idx="39">
                  <c:v>56.264899999999997</c:v>
                </c:pt>
                <c:pt idx="40">
                  <c:v>56.089100000000002</c:v>
                </c:pt>
                <c:pt idx="41">
                  <c:v>56.085000000000001</c:v>
                </c:pt>
                <c:pt idx="42">
                  <c:v>56.383800000000001</c:v>
                </c:pt>
                <c:pt idx="43">
                  <c:v>56.381100000000004</c:v>
                </c:pt>
                <c:pt idx="44">
                  <c:v>57.250900000000001</c:v>
                </c:pt>
                <c:pt idx="45">
                  <c:v>57.186599999999999</c:v>
                </c:pt>
                <c:pt idx="46">
                  <c:v>56.9191</c:v>
                </c:pt>
                <c:pt idx="47">
                  <c:v>56.608199999999997</c:v>
                </c:pt>
                <c:pt idx="48">
                  <c:v>56.2804</c:v>
                </c:pt>
                <c:pt idx="49">
                  <c:v>56.3431</c:v>
                </c:pt>
                <c:pt idx="50">
                  <c:v>55.934199999999997</c:v>
                </c:pt>
                <c:pt idx="51">
                  <c:v>56.241300000000003</c:v>
                </c:pt>
                <c:pt idx="52">
                  <c:v>56.577800000000003</c:v>
                </c:pt>
                <c:pt idx="53">
                  <c:v>56.191699999999997</c:v>
                </c:pt>
                <c:pt idx="54">
                  <c:v>56.464100000000002</c:v>
                </c:pt>
                <c:pt idx="55">
                  <c:v>55.826500000000003</c:v>
                </c:pt>
                <c:pt idx="56">
                  <c:v>56.166499999999999</c:v>
                </c:pt>
                <c:pt idx="57">
                  <c:v>57.153100000000002</c:v>
                </c:pt>
                <c:pt idx="58">
                  <c:v>56.979300000000002</c:v>
                </c:pt>
                <c:pt idx="59">
                  <c:v>56.93</c:v>
                </c:pt>
                <c:pt idx="60">
                  <c:v>57.029899999999998</c:v>
                </c:pt>
                <c:pt idx="61">
                  <c:v>57.389699999999998</c:v>
                </c:pt>
                <c:pt idx="62">
                  <c:v>58.381500000000003</c:v>
                </c:pt>
                <c:pt idx="63">
                  <c:v>57.9467</c:v>
                </c:pt>
                <c:pt idx="64">
                  <c:v>57.457099999999997</c:v>
                </c:pt>
                <c:pt idx="65">
                  <c:v>57.064399999999999</c:v>
                </c:pt>
                <c:pt idx="66">
                  <c:v>57.105800000000002</c:v>
                </c:pt>
                <c:pt idx="67">
                  <c:v>56.370399999999997</c:v>
                </c:pt>
                <c:pt idx="68">
                  <c:v>56.579599999999999</c:v>
                </c:pt>
                <c:pt idx="69">
                  <c:v>57.113799999999998</c:v>
                </c:pt>
                <c:pt idx="70">
                  <c:v>57.5854</c:v>
                </c:pt>
                <c:pt idx="71">
                  <c:v>56.9345</c:v>
                </c:pt>
                <c:pt idx="72">
                  <c:v>56.637799999999999</c:v>
                </c:pt>
                <c:pt idx="73">
                  <c:v>56.361800000000002</c:v>
                </c:pt>
                <c:pt idx="74">
                  <c:v>56.422400000000003</c:v>
                </c:pt>
                <c:pt idx="75">
                  <c:v>56.957500000000003</c:v>
                </c:pt>
                <c:pt idx="76">
                  <c:v>56.518000000000001</c:v>
                </c:pt>
                <c:pt idx="77">
                  <c:v>56.486699999999999</c:v>
                </c:pt>
                <c:pt idx="78">
                  <c:v>56.554900000000004</c:v>
                </c:pt>
                <c:pt idx="79">
                  <c:v>56.567</c:v>
                </c:pt>
                <c:pt idx="80">
                  <c:v>56.3904</c:v>
                </c:pt>
                <c:pt idx="81">
                  <c:v>56.640900000000002</c:v>
                </c:pt>
                <c:pt idx="82">
                  <c:v>56.617400000000004</c:v>
                </c:pt>
                <c:pt idx="83">
                  <c:v>56.540700000000001</c:v>
                </c:pt>
                <c:pt idx="84">
                  <c:v>57.098399999999998</c:v>
                </c:pt>
                <c:pt idx="85">
                  <c:v>56.899000000000001</c:v>
                </c:pt>
                <c:pt idx="86">
                  <c:v>57.028599999999997</c:v>
                </c:pt>
                <c:pt idx="87">
                  <c:v>56.984299999999998</c:v>
                </c:pt>
                <c:pt idx="88">
                  <c:v>57.414999999999999</c:v>
                </c:pt>
                <c:pt idx="89">
                  <c:v>57.888300000000001</c:v>
                </c:pt>
                <c:pt idx="90">
                  <c:v>57.775500000000001</c:v>
                </c:pt>
                <c:pt idx="91">
                  <c:v>58.4617</c:v>
                </c:pt>
                <c:pt idx="92">
                  <c:v>59.625799999999998</c:v>
                </c:pt>
                <c:pt idx="93">
                  <c:v>60.304299999999998</c:v>
                </c:pt>
                <c:pt idx="94">
                  <c:v>59.958500000000001</c:v>
                </c:pt>
                <c:pt idx="95">
                  <c:v>59.417400000000001</c:v>
                </c:pt>
                <c:pt idx="96">
                  <c:v>58.784500000000001</c:v>
                </c:pt>
                <c:pt idx="97">
                  <c:v>59.49</c:v>
                </c:pt>
                <c:pt idx="98">
                  <c:v>59.211199999999998</c:v>
                </c:pt>
                <c:pt idx="99">
                  <c:v>59.419400000000003</c:v>
                </c:pt>
                <c:pt idx="100">
                  <c:v>58.942999999999998</c:v>
                </c:pt>
                <c:pt idx="101">
                  <c:v>59.266399999999997</c:v>
                </c:pt>
                <c:pt idx="102">
                  <c:v>59.427100000000003</c:v>
                </c:pt>
                <c:pt idx="103">
                  <c:v>59.991599999999998</c:v>
                </c:pt>
                <c:pt idx="104">
                  <c:v>60.145200000000003</c:v>
                </c:pt>
                <c:pt idx="105">
                  <c:v>60.356900000000003</c:v>
                </c:pt>
                <c:pt idx="106">
                  <c:v>60.237699999999997</c:v>
                </c:pt>
                <c:pt idx="107">
                  <c:v>60.735999999999997</c:v>
                </c:pt>
                <c:pt idx="108">
                  <c:v>59.995800000000003</c:v>
                </c:pt>
                <c:pt idx="109">
                  <c:v>59.824399999999997</c:v>
                </c:pt>
                <c:pt idx="110">
                  <c:v>59.071300000000001</c:v>
                </c:pt>
                <c:pt idx="111">
                  <c:v>59.344099999999997</c:v>
                </c:pt>
                <c:pt idx="112">
                  <c:v>59.167200000000001</c:v>
                </c:pt>
                <c:pt idx="113">
                  <c:v>58.986899999999999</c:v>
                </c:pt>
                <c:pt idx="114">
                  <c:v>58.930700000000002</c:v>
                </c:pt>
                <c:pt idx="115">
                  <c:v>59.3735</c:v>
                </c:pt>
                <c:pt idx="116">
                  <c:v>60.013399999999997</c:v>
                </c:pt>
                <c:pt idx="117">
                  <c:v>59.889000000000003</c:v>
                </c:pt>
                <c:pt idx="118">
                  <c:v>59.404000000000003</c:v>
                </c:pt>
                <c:pt idx="119">
                  <c:v>59.496699999999997</c:v>
                </c:pt>
                <c:pt idx="120">
                  <c:v>59.551400000000001</c:v>
                </c:pt>
                <c:pt idx="121">
                  <c:v>59.773400000000002</c:v>
                </c:pt>
                <c:pt idx="122">
                  <c:v>60.348599999999998</c:v>
                </c:pt>
                <c:pt idx="123">
                  <c:v>60.573599999999999</c:v>
                </c:pt>
                <c:pt idx="124">
                  <c:v>60.353999999999999</c:v>
                </c:pt>
                <c:pt idx="125">
                  <c:v>59.972499999999997</c:v>
                </c:pt>
                <c:pt idx="126">
                  <c:v>60.026699999999998</c:v>
                </c:pt>
                <c:pt idx="127">
                  <c:v>59.83</c:v>
                </c:pt>
                <c:pt idx="128">
                  <c:v>59.9908</c:v>
                </c:pt>
                <c:pt idx="129">
                  <c:v>60.115200000000002</c:v>
                </c:pt>
                <c:pt idx="130">
                  <c:v>59.864100000000001</c:v>
                </c:pt>
                <c:pt idx="131">
                  <c:v>59.8688</c:v>
                </c:pt>
                <c:pt idx="132">
                  <c:v>59.708100000000002</c:v>
                </c:pt>
                <c:pt idx="133">
                  <c:v>59.381</c:v>
                </c:pt>
                <c:pt idx="134">
                  <c:v>59.2288</c:v>
                </c:pt>
                <c:pt idx="135">
                  <c:v>59.002699999999997</c:v>
                </c:pt>
                <c:pt idx="136">
                  <c:v>59.142800000000001</c:v>
                </c:pt>
                <c:pt idx="137">
                  <c:v>59.0824</c:v>
                </c:pt>
                <c:pt idx="138">
                  <c:v>59.061900000000001</c:v>
                </c:pt>
                <c:pt idx="139">
                  <c:v>59.161700000000003</c:v>
                </c:pt>
                <c:pt idx="140">
                  <c:v>58.585500000000003</c:v>
                </c:pt>
                <c:pt idx="141">
                  <c:v>58.443899999999999</c:v>
                </c:pt>
                <c:pt idx="142">
                  <c:v>58.831200000000003</c:v>
                </c:pt>
                <c:pt idx="143">
                  <c:v>58.558900000000001</c:v>
                </c:pt>
                <c:pt idx="144">
                  <c:v>58.008899999999997</c:v>
                </c:pt>
                <c:pt idx="145">
                  <c:v>57.496600000000001</c:v>
                </c:pt>
                <c:pt idx="146">
                  <c:v>57.831499999999998</c:v>
                </c:pt>
                <c:pt idx="147">
                  <c:v>57.525300000000001</c:v>
                </c:pt>
                <c:pt idx="148">
                  <c:v>57.364699999999999</c:v>
                </c:pt>
                <c:pt idx="149">
                  <c:v>56.899299999999997</c:v>
                </c:pt>
                <c:pt idx="150">
                  <c:v>57.355600000000003</c:v>
                </c:pt>
                <c:pt idx="151">
                  <c:v>57.204999999999998</c:v>
                </c:pt>
                <c:pt idx="152">
                  <c:v>57.701900000000002</c:v>
                </c:pt>
                <c:pt idx="153">
                  <c:v>57.959499999999998</c:v>
                </c:pt>
                <c:pt idx="154">
                  <c:v>57.503</c:v>
                </c:pt>
                <c:pt idx="155">
                  <c:v>57.6327</c:v>
                </c:pt>
                <c:pt idx="156">
                  <c:v>58.1188</c:v>
                </c:pt>
                <c:pt idx="157">
                  <c:v>58.133099999999999</c:v>
                </c:pt>
                <c:pt idx="158">
                  <c:v>58.1113</c:v>
                </c:pt>
                <c:pt idx="159">
                  <c:v>57.8964</c:v>
                </c:pt>
                <c:pt idx="160">
                  <c:v>57.482999999999997</c:v>
                </c:pt>
                <c:pt idx="161">
                  <c:v>57.552300000000002</c:v>
                </c:pt>
                <c:pt idx="162">
                  <c:v>57.813299999999998</c:v>
                </c:pt>
                <c:pt idx="163">
                  <c:v>58.194499999999998</c:v>
                </c:pt>
                <c:pt idx="164">
                  <c:v>57.917999999999999</c:v>
                </c:pt>
                <c:pt idx="165">
                  <c:v>57.4938</c:v>
                </c:pt>
                <c:pt idx="166">
                  <c:v>57.903799999999997</c:v>
                </c:pt>
                <c:pt idx="167">
                  <c:v>57.896900000000002</c:v>
                </c:pt>
                <c:pt idx="168">
                  <c:v>57.684199999999997</c:v>
                </c:pt>
                <c:pt idx="169">
                  <c:v>57.689</c:v>
                </c:pt>
                <c:pt idx="170">
                  <c:v>58.182000000000002</c:v>
                </c:pt>
                <c:pt idx="171">
                  <c:v>58.344299999999997</c:v>
                </c:pt>
                <c:pt idx="172">
                  <c:v>57.980499999999999</c:v>
                </c:pt>
                <c:pt idx="173">
                  <c:v>57.828000000000003</c:v>
                </c:pt>
                <c:pt idx="174">
                  <c:v>57.687199999999997</c:v>
                </c:pt>
                <c:pt idx="175">
                  <c:v>57.178600000000003</c:v>
                </c:pt>
                <c:pt idx="176">
                  <c:v>57.317700000000002</c:v>
                </c:pt>
                <c:pt idx="177">
                  <c:v>57.2986</c:v>
                </c:pt>
                <c:pt idx="178">
                  <c:v>57.428199999999997</c:v>
                </c:pt>
                <c:pt idx="179">
                  <c:v>57.281700000000001</c:v>
                </c:pt>
                <c:pt idx="180">
                  <c:v>57.497</c:v>
                </c:pt>
                <c:pt idx="181">
                  <c:v>57.552900000000001</c:v>
                </c:pt>
                <c:pt idx="182">
                  <c:v>57.642099999999999</c:v>
                </c:pt>
                <c:pt idx="183">
                  <c:v>57.768299999999996</c:v>
                </c:pt>
                <c:pt idx="184">
                  <c:v>57.852600000000002</c:v>
                </c:pt>
                <c:pt idx="185">
                  <c:v>58.072800000000001</c:v>
                </c:pt>
                <c:pt idx="186">
                  <c:v>57.970599999999997</c:v>
                </c:pt>
                <c:pt idx="187">
                  <c:v>58.330199999999998</c:v>
                </c:pt>
                <c:pt idx="188">
                  <c:v>58.289200000000001</c:v>
                </c:pt>
                <c:pt idx="189">
                  <c:v>58.169800000000002</c:v>
                </c:pt>
                <c:pt idx="190">
                  <c:v>59.069000000000003</c:v>
                </c:pt>
                <c:pt idx="191">
                  <c:v>59.352800000000002</c:v>
                </c:pt>
                <c:pt idx="192">
                  <c:v>59.234900000000003</c:v>
                </c:pt>
                <c:pt idx="193">
                  <c:v>59.299700000000001</c:v>
                </c:pt>
                <c:pt idx="194">
                  <c:v>59.207799999999999</c:v>
                </c:pt>
                <c:pt idx="195">
                  <c:v>59.364899999999999</c:v>
                </c:pt>
                <c:pt idx="196">
                  <c:v>60.228299999999997</c:v>
                </c:pt>
                <c:pt idx="197">
                  <c:v>60.206499999999998</c:v>
                </c:pt>
                <c:pt idx="198">
                  <c:v>59.663699999999999</c:v>
                </c:pt>
                <c:pt idx="199">
                  <c:v>59.078299999999999</c:v>
                </c:pt>
                <c:pt idx="200">
                  <c:v>59.352200000000003</c:v>
                </c:pt>
                <c:pt idx="201">
                  <c:v>59.186999999999998</c:v>
                </c:pt>
                <c:pt idx="202">
                  <c:v>58.498399999999997</c:v>
                </c:pt>
                <c:pt idx="203">
                  <c:v>58.465600000000002</c:v>
                </c:pt>
                <c:pt idx="204">
                  <c:v>58.3703</c:v>
                </c:pt>
                <c:pt idx="205">
                  <c:v>58.491100000000003</c:v>
                </c:pt>
                <c:pt idx="206">
                  <c:v>58.375100000000003</c:v>
                </c:pt>
                <c:pt idx="207">
                  <c:v>58.619199999999999</c:v>
                </c:pt>
                <c:pt idx="208">
                  <c:v>58.452399999999997</c:v>
                </c:pt>
                <c:pt idx="209">
                  <c:v>58.898299999999999</c:v>
                </c:pt>
                <c:pt idx="210">
                  <c:v>58.8001</c:v>
                </c:pt>
                <c:pt idx="211">
                  <c:v>58.736699999999999</c:v>
                </c:pt>
                <c:pt idx="212">
                  <c:v>59.2224</c:v>
                </c:pt>
                <c:pt idx="213">
                  <c:v>59.199399999999997</c:v>
                </c:pt>
                <c:pt idx="214">
                  <c:v>59.294800000000002</c:v>
                </c:pt>
                <c:pt idx="215">
                  <c:v>59.281100000000002</c:v>
                </c:pt>
                <c:pt idx="216">
                  <c:v>59.2348</c:v>
                </c:pt>
                <c:pt idx="217">
                  <c:v>58.837000000000003</c:v>
                </c:pt>
                <c:pt idx="218">
                  <c:v>59.144599999999997</c:v>
                </c:pt>
                <c:pt idx="219">
                  <c:v>58.708199999999998</c:v>
                </c:pt>
                <c:pt idx="220">
                  <c:v>58.898699999999998</c:v>
                </c:pt>
                <c:pt idx="221">
                  <c:v>58.694000000000003</c:v>
                </c:pt>
                <c:pt idx="222">
                  <c:v>58.611699999999999</c:v>
                </c:pt>
                <c:pt idx="223">
                  <c:v>58.716999999999999</c:v>
                </c:pt>
                <c:pt idx="224">
                  <c:v>58.559600000000003</c:v>
                </c:pt>
                <c:pt idx="225">
                  <c:v>58.315199999999997</c:v>
                </c:pt>
                <c:pt idx="226">
                  <c:v>58.198900000000002</c:v>
                </c:pt>
                <c:pt idx="227">
                  <c:v>57.734299999999998</c:v>
                </c:pt>
                <c:pt idx="228">
                  <c:v>57.4544</c:v>
                </c:pt>
                <c:pt idx="229">
                  <c:v>57.629100000000001</c:v>
                </c:pt>
                <c:pt idx="230">
                  <c:v>57.600200000000001</c:v>
                </c:pt>
                <c:pt idx="231">
                  <c:v>57.046300000000002</c:v>
                </c:pt>
                <c:pt idx="232">
                  <c:v>56.873399999999997</c:v>
                </c:pt>
                <c:pt idx="233">
                  <c:v>56.995699999999999</c:v>
                </c:pt>
                <c:pt idx="234">
                  <c:v>56.601900000000001</c:v>
                </c:pt>
                <c:pt idx="235">
                  <c:v>56.356900000000003</c:v>
                </c:pt>
                <c:pt idx="236">
                  <c:v>56.387799999999999</c:v>
                </c:pt>
                <c:pt idx="237">
                  <c:v>56.592500000000001</c:v>
                </c:pt>
                <c:pt idx="238">
                  <c:v>56.759700000000002</c:v>
                </c:pt>
                <c:pt idx="239">
                  <c:v>56.589199999999998</c:v>
                </c:pt>
                <c:pt idx="240">
                  <c:v>56.626100000000001</c:v>
                </c:pt>
                <c:pt idx="241">
                  <c:v>56.411499999999997</c:v>
                </c:pt>
                <c:pt idx="242">
                  <c:v>56.388800000000003</c:v>
                </c:pt>
                <c:pt idx="243">
                  <c:v>55.928800000000003</c:v>
                </c:pt>
                <c:pt idx="244">
                  <c:v>55.828800000000001</c:v>
                </c:pt>
                <c:pt idx="245">
                  <c:v>56.290799999999997</c:v>
                </c:pt>
                <c:pt idx="246">
                  <c:v>56.291400000000003</c:v>
                </c:pt>
                <c:pt idx="247">
                  <c:v>56.183999999999997</c:v>
                </c:pt>
                <c:pt idx="248">
                  <c:v>56.261299999999999</c:v>
                </c:pt>
                <c:pt idx="249">
                  <c:v>56.040799999999997</c:v>
                </c:pt>
                <c:pt idx="250">
                  <c:v>56.627800000000001</c:v>
                </c:pt>
                <c:pt idx="251">
                  <c:v>57.2196</c:v>
                </c:pt>
                <c:pt idx="252">
                  <c:v>56.953299999999999</c:v>
                </c:pt>
                <c:pt idx="253">
                  <c:v>57.6736</c:v>
                </c:pt>
                <c:pt idx="254">
                  <c:v>58.171799999999998</c:v>
                </c:pt>
                <c:pt idx="255">
                  <c:v>58.017099999999999</c:v>
                </c:pt>
                <c:pt idx="256">
                  <c:v>57.770099999999999</c:v>
                </c:pt>
                <c:pt idx="257">
                  <c:v>57.5899</c:v>
                </c:pt>
                <c:pt idx="258">
                  <c:v>56.591799999999999</c:v>
                </c:pt>
                <c:pt idx="259">
                  <c:v>56.355400000000003</c:v>
                </c:pt>
                <c:pt idx="260">
                  <c:v>56.343800000000002</c:v>
                </c:pt>
                <c:pt idx="261">
                  <c:v>56.520099999999999</c:v>
                </c:pt>
                <c:pt idx="262">
                  <c:v>56.653700000000001</c:v>
                </c:pt>
                <c:pt idx="263">
                  <c:v>56.760800000000003</c:v>
                </c:pt>
                <c:pt idx="264">
                  <c:v>55.9208</c:v>
                </c:pt>
                <c:pt idx="265">
                  <c:v>55.671700000000001</c:v>
                </c:pt>
                <c:pt idx="266">
                  <c:v>56.374200000000002</c:v>
                </c:pt>
                <c:pt idx="267">
                  <c:v>56.433399999999999</c:v>
                </c:pt>
                <c:pt idx="268">
                  <c:v>56.6616</c:v>
                </c:pt>
                <c:pt idx="269">
                  <c:v>57.1</c:v>
                </c:pt>
                <c:pt idx="270">
                  <c:v>56.504100000000001</c:v>
                </c:pt>
                <c:pt idx="271">
                  <c:v>56.801099999999998</c:v>
                </c:pt>
                <c:pt idx="272">
                  <c:v>56.612200000000001</c:v>
                </c:pt>
                <c:pt idx="273">
                  <c:v>56.935899999999997</c:v>
                </c:pt>
                <c:pt idx="274">
                  <c:v>56.937199999999997</c:v>
                </c:pt>
                <c:pt idx="275">
                  <c:v>57.018799999999999</c:v>
                </c:pt>
                <c:pt idx="276">
                  <c:v>57.494199999999999</c:v>
                </c:pt>
                <c:pt idx="277">
                  <c:v>57.552100000000003</c:v>
                </c:pt>
                <c:pt idx="278">
                  <c:v>57.703299999999999</c:v>
                </c:pt>
                <c:pt idx="279">
                  <c:v>57.495399999999997</c:v>
                </c:pt>
                <c:pt idx="280">
                  <c:v>56.839100000000002</c:v>
                </c:pt>
                <c:pt idx="281">
                  <c:v>57.107199999999999</c:v>
                </c:pt>
                <c:pt idx="282">
                  <c:v>57.003900000000002</c:v>
                </c:pt>
                <c:pt idx="283">
                  <c:v>57.174700000000001</c:v>
                </c:pt>
                <c:pt idx="284">
                  <c:v>57.559800000000003</c:v>
                </c:pt>
                <c:pt idx="285">
                  <c:v>57.762599999999999</c:v>
                </c:pt>
                <c:pt idx="286">
                  <c:v>57.264899999999997</c:v>
                </c:pt>
                <c:pt idx="287">
                  <c:v>57.284999999999997</c:v>
                </c:pt>
                <c:pt idx="288">
                  <c:v>57.537500000000001</c:v>
                </c:pt>
                <c:pt idx="289">
                  <c:v>57.764600000000002</c:v>
                </c:pt>
                <c:pt idx="290">
                  <c:v>57.579599999999999</c:v>
                </c:pt>
                <c:pt idx="291">
                  <c:v>57.833199999999998</c:v>
                </c:pt>
                <c:pt idx="292">
                  <c:v>58.571399999999997</c:v>
                </c:pt>
                <c:pt idx="293">
                  <c:v>62.369900000000001</c:v>
                </c:pt>
                <c:pt idx="294">
                  <c:v>64.062600000000003</c:v>
                </c:pt>
                <c:pt idx="295">
                  <c:v>62.065899999999999</c:v>
                </c:pt>
                <c:pt idx="296">
                  <c:v>61.431100000000001</c:v>
                </c:pt>
                <c:pt idx="297">
                  <c:v>62.279400000000003</c:v>
                </c:pt>
                <c:pt idx="298">
                  <c:v>61.145400000000002</c:v>
                </c:pt>
                <c:pt idx="299">
                  <c:v>61.553899999999999</c:v>
                </c:pt>
                <c:pt idx="300">
                  <c:v>60.8583</c:v>
                </c:pt>
                <c:pt idx="301">
                  <c:v>61.322200000000002</c:v>
                </c:pt>
                <c:pt idx="302">
                  <c:v>61.765500000000003</c:v>
                </c:pt>
                <c:pt idx="303">
                  <c:v>61.664400000000001</c:v>
                </c:pt>
                <c:pt idx="304">
                  <c:v>61.749400000000001</c:v>
                </c:pt>
                <c:pt idx="305">
                  <c:v>62.602699999999999</c:v>
                </c:pt>
                <c:pt idx="306">
                  <c:v>62.725999999999999</c:v>
                </c:pt>
                <c:pt idx="307">
                  <c:v>61.999699999999997</c:v>
                </c:pt>
                <c:pt idx="308">
                  <c:v>63.485999999999997</c:v>
                </c:pt>
                <c:pt idx="309">
                  <c:v>63.2012</c:v>
                </c:pt>
                <c:pt idx="310">
                  <c:v>62.714799999999997</c:v>
                </c:pt>
                <c:pt idx="311">
                  <c:v>63.006599999999999</c:v>
                </c:pt>
                <c:pt idx="312">
                  <c:v>62.5229</c:v>
                </c:pt>
                <c:pt idx="313">
                  <c:v>61.735399999999998</c:v>
                </c:pt>
                <c:pt idx="314">
                  <c:v>61.7684</c:v>
                </c:pt>
                <c:pt idx="315">
                  <c:v>61.916400000000003</c:v>
                </c:pt>
                <c:pt idx="316">
                  <c:v>62.3033</c:v>
                </c:pt>
                <c:pt idx="317">
                  <c:v>61.8215</c:v>
                </c:pt>
                <c:pt idx="318">
                  <c:v>61.940800000000003</c:v>
                </c:pt>
                <c:pt idx="319">
                  <c:v>62.532699999999998</c:v>
                </c:pt>
                <c:pt idx="320">
                  <c:v>61.261000000000003</c:v>
                </c:pt>
                <c:pt idx="321">
                  <c:v>61.594499999999996</c:v>
                </c:pt>
                <c:pt idx="322">
                  <c:v>61.408999999999999</c:v>
                </c:pt>
                <c:pt idx="323">
                  <c:v>61.665900000000001</c:v>
                </c:pt>
                <c:pt idx="324">
                  <c:v>62.271000000000001</c:v>
                </c:pt>
                <c:pt idx="325">
                  <c:v>62.642000000000003</c:v>
                </c:pt>
                <c:pt idx="326">
                  <c:v>62.593699999999998</c:v>
                </c:pt>
              </c:numCache>
            </c:numRef>
          </c:yVal>
          <c:smooth val="0"/>
          <c:extLst xmlns:c16r2="http://schemas.microsoft.com/office/drawing/2015/06/chart">
            <c:ext xmlns:c16="http://schemas.microsoft.com/office/drawing/2014/chart" uri="{C3380CC4-5D6E-409C-BE32-E72D297353CC}">
              <c16:uniqueId val="{00000001-B985-4AC6-88F8-503445946A4F}"/>
            </c:ext>
          </c:extLst>
        </c:ser>
        <c:dLbls>
          <c:showLegendKey val="0"/>
          <c:showVal val="0"/>
          <c:showCatName val="0"/>
          <c:showSerName val="0"/>
          <c:showPercent val="0"/>
          <c:showBubbleSize val="0"/>
        </c:dLbls>
        <c:axId val="225335488"/>
        <c:axId val="197469312"/>
      </c:scatterChart>
      <c:valAx>
        <c:axId val="225335488"/>
        <c:scaling>
          <c:orientation val="minMax"/>
          <c:max val="80"/>
          <c:min val="30"/>
        </c:scaling>
        <c:delete val="0"/>
        <c:axPos val="b"/>
        <c:majorGridlines>
          <c:spPr>
            <a:ln>
              <a:noFill/>
              <a:prstDash val="dash"/>
            </a:ln>
          </c:spPr>
        </c:majorGridlines>
        <c:title>
          <c:tx>
            <c:rich>
              <a:bodyPr/>
              <a:lstStyle/>
              <a:p>
                <a:pPr>
                  <a:defRPr b="0" i="1"/>
                </a:pPr>
                <a:r>
                  <a:rPr lang="ru-RU" b="0" i="1"/>
                  <a:t>Юралс</a:t>
                </a:r>
                <a:r>
                  <a:rPr lang="en-US" b="0" i="1"/>
                  <a:t>, $/</a:t>
                </a:r>
                <a:r>
                  <a:rPr lang="ru-RU" b="0" i="1"/>
                  <a:t>баррель</a:t>
                </a:r>
              </a:p>
            </c:rich>
          </c:tx>
          <c:layout>
            <c:manualLayout>
              <c:xMode val="edge"/>
              <c:yMode val="edge"/>
              <c:x val="0.56389769604734719"/>
              <c:y val="0.90573362602907359"/>
            </c:manualLayout>
          </c:layout>
          <c:overlay val="0"/>
        </c:title>
        <c:numFmt formatCode="0" sourceLinked="0"/>
        <c:majorTickMark val="out"/>
        <c:minorTickMark val="none"/>
        <c:tickLblPos val="low"/>
        <c:spPr>
          <a:ln>
            <a:solidFill>
              <a:sysClr val="windowText" lastClr="000000"/>
            </a:solidFill>
          </a:ln>
        </c:spPr>
        <c:txPr>
          <a:bodyPr rot="0" vert="horz"/>
          <a:lstStyle/>
          <a:p>
            <a:pPr>
              <a:defRPr/>
            </a:pPr>
            <a:endParaRPr lang="ru-RU"/>
          </a:p>
        </c:txPr>
        <c:crossAx val="197469312"/>
        <c:crosses val="autoZero"/>
        <c:crossBetween val="midCat"/>
        <c:majorUnit val="5"/>
      </c:valAx>
      <c:valAx>
        <c:axId val="197469312"/>
        <c:scaling>
          <c:orientation val="minMax"/>
          <c:max val="85"/>
          <c:min val="45"/>
        </c:scaling>
        <c:delete val="0"/>
        <c:axPos val="l"/>
        <c:majorGridlines>
          <c:spPr>
            <a:ln>
              <a:noFill/>
              <a:prstDash val="dash"/>
            </a:ln>
          </c:spPr>
        </c:majorGridlines>
        <c:title>
          <c:tx>
            <c:rich>
              <a:bodyPr rot="-5400000" vert="horz"/>
              <a:lstStyle/>
              <a:p>
                <a:pPr>
                  <a:defRPr b="0" i="1"/>
                </a:pPr>
                <a:r>
                  <a:rPr lang="en-US" b="0" i="1"/>
                  <a:t>USDRUB</a:t>
                </a:r>
                <a:endParaRPr lang="ru-RU" b="0" i="1"/>
              </a:p>
            </c:rich>
          </c:tx>
          <c:layout>
            <c:manualLayout>
              <c:xMode val="edge"/>
              <c:yMode val="edge"/>
              <c:x val="0"/>
              <c:y val="3.3965667629903461E-2"/>
            </c:manualLayout>
          </c:layout>
          <c:overlay val="0"/>
        </c:title>
        <c:numFmt formatCode="#\ ##0" sourceLinked="0"/>
        <c:majorTickMark val="out"/>
        <c:minorTickMark val="none"/>
        <c:tickLblPos val="nextTo"/>
        <c:spPr>
          <a:ln>
            <a:solidFill>
              <a:sysClr val="windowText" lastClr="000000"/>
            </a:solidFill>
          </a:ln>
        </c:spPr>
        <c:crossAx val="225335488"/>
        <c:crosses val="autoZero"/>
        <c:crossBetween val="midCat"/>
      </c:valAx>
      <c:spPr>
        <a:noFill/>
      </c:spPr>
    </c:plotArea>
    <c:legend>
      <c:legendPos val="b"/>
      <c:layout>
        <c:manualLayout>
          <c:xMode val="edge"/>
          <c:yMode val="edge"/>
          <c:x val="0.46093399707408167"/>
          <c:y val="8.4539035479977223E-2"/>
          <c:w val="0.50443298265586178"/>
          <c:h val="0.17288728503853618"/>
        </c:manualLayout>
      </c:layout>
      <c:overlay val="0"/>
    </c:legend>
    <c:plotVisOnly val="1"/>
    <c:dispBlanksAs val="gap"/>
    <c:showDLblsOverMax val="0"/>
  </c:chart>
  <c:spPr>
    <a:noFill/>
    <a:ln>
      <a:noFill/>
    </a:ln>
  </c:spPr>
  <c:txPr>
    <a:bodyPr/>
    <a:lstStyle/>
    <a:p>
      <a:pPr>
        <a:defRPr sz="1000">
          <a:latin typeface="Century" panose="02040604050505020304" pitchFamily="18" charset="0"/>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05038089750974"/>
          <c:y val="5.1400554097404488E-2"/>
          <c:w val="0.82597689008386166"/>
          <c:h val="0.77029573605930834"/>
        </c:manualLayout>
      </c:layout>
      <c:barChart>
        <c:barDir val="col"/>
        <c:grouping val="stacked"/>
        <c:varyColors val="0"/>
        <c:ser>
          <c:idx val="0"/>
          <c:order val="0"/>
          <c:tx>
            <c:strRef>
              <c:f>Sheet2!$M$24</c:f>
              <c:strCache>
                <c:ptCount val="1"/>
                <c:pt idx="0">
                  <c:v>Base oil revenues
</c:v>
                </c:pt>
              </c:strCache>
            </c:strRef>
          </c:tx>
          <c:spPr>
            <a:solidFill>
              <a:srgbClr val="3B3B3B"/>
            </a:solidFill>
            <a:ln>
              <a:solidFill>
                <a:srgbClr val="000000"/>
              </a:solidFill>
            </a:ln>
          </c:spPr>
          <c:invertIfNegative val="0"/>
          <c:dLbls>
            <c:dLbl>
              <c:idx val="3"/>
              <c:layout>
                <c:manualLayout>
                  <c:x val="9.3104081078920681E-2"/>
                  <c:y val="-0.44392272589762699"/>
                </c:manualLayout>
              </c:layout>
              <c:tx>
                <c:rich>
                  <a:bodyPr/>
                  <a:lstStyle/>
                  <a:p>
                    <a:pPr>
                      <a:defRPr sz="700" b="1">
                        <a:solidFill>
                          <a:srgbClr val="3B3B3B"/>
                        </a:solidFill>
                      </a:defRPr>
                    </a:pPr>
                    <a:r>
                      <a:rPr lang="ru-RU" sz="650" b="1" dirty="0">
                        <a:solidFill>
                          <a:srgbClr val="3B3B3B"/>
                        </a:solidFill>
                      </a:rPr>
                      <a:t>базовые нефтегазовые доходы</a:t>
                    </a:r>
                  </a:p>
                </c:rich>
              </c:tx>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1597485310525197"/>
                      <c:h val="0.19173369095072676"/>
                    </c:manualLayout>
                  </c15:layout>
                </c:ext>
                <c:ext xmlns:c16="http://schemas.microsoft.com/office/drawing/2014/chart" uri="{C3380CC4-5D6E-409C-BE32-E72D297353CC}">
                  <c16:uniqueId val="{00000000-BA21-4C3D-82B9-7468423BC744}"/>
                </c:ext>
              </c:extLst>
            </c:dLbl>
            <c:spPr>
              <a:noFill/>
              <a:ln>
                <a:noFill/>
              </a:ln>
              <a:effectLst/>
            </c:spPr>
            <c:txPr>
              <a:bodyPr/>
              <a:lstStyle/>
              <a:p>
                <a:pPr>
                  <a:defRPr sz="900"/>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Sheet2!$J$25:$J$36</c:f>
              <c:numCache>
                <c:formatCode>General</c:formatCode>
                <c:ptCount val="12"/>
                <c:pt idx="0">
                  <c:v>25</c:v>
                </c:pt>
                <c:pt idx="1">
                  <c:v>30</c:v>
                </c:pt>
                <c:pt idx="2">
                  <c:v>35</c:v>
                </c:pt>
                <c:pt idx="3">
                  <c:v>40</c:v>
                </c:pt>
                <c:pt idx="4">
                  <c:v>45</c:v>
                </c:pt>
                <c:pt idx="5">
                  <c:v>50</c:v>
                </c:pt>
                <c:pt idx="6">
                  <c:v>55</c:v>
                </c:pt>
                <c:pt idx="7">
                  <c:v>60</c:v>
                </c:pt>
                <c:pt idx="8">
                  <c:v>65</c:v>
                </c:pt>
                <c:pt idx="9">
                  <c:v>70</c:v>
                </c:pt>
                <c:pt idx="10">
                  <c:v>75</c:v>
                </c:pt>
                <c:pt idx="11">
                  <c:v>80</c:v>
                </c:pt>
              </c:numCache>
            </c:numRef>
          </c:cat>
          <c:val>
            <c:numRef>
              <c:f>Sheet2!$M$25:$M$36</c:f>
              <c:numCache>
                <c:formatCode>0.0</c:formatCode>
                <c:ptCount val="12"/>
                <c:pt idx="0">
                  <c:v>3.036032098345355</c:v>
                </c:pt>
                <c:pt idx="1">
                  <c:v>3.6915544567261858</c:v>
                </c:pt>
                <c:pt idx="2">
                  <c:v>4.347076815107016</c:v>
                </c:pt>
                <c:pt idx="3">
                  <c:v>5.1578316014615497</c:v>
                </c:pt>
                <c:pt idx="4">
                  <c:v>5.0655593119247708</c:v>
                </c:pt>
                <c:pt idx="5">
                  <c:v>4.9732870223879928</c:v>
                </c:pt>
                <c:pt idx="6">
                  <c:v>4.881014732851213</c:v>
                </c:pt>
                <c:pt idx="7">
                  <c:v>4.788742443314435</c:v>
                </c:pt>
                <c:pt idx="8">
                  <c:v>4.6964701537776561</c:v>
                </c:pt>
                <c:pt idx="9">
                  <c:v>4.6041978642408772</c:v>
                </c:pt>
                <c:pt idx="10">
                  <c:v>4.5119255747040992</c:v>
                </c:pt>
                <c:pt idx="11">
                  <c:v>4.4196532851673203</c:v>
                </c:pt>
              </c:numCache>
            </c:numRef>
          </c:val>
          <c:extLst xmlns:c16r2="http://schemas.microsoft.com/office/drawing/2015/06/chart">
            <c:ext xmlns:c16="http://schemas.microsoft.com/office/drawing/2014/chart" uri="{C3380CC4-5D6E-409C-BE32-E72D297353CC}">
              <c16:uniqueId val="{00000001-BA21-4C3D-82B9-7468423BC744}"/>
            </c:ext>
          </c:extLst>
        </c:ser>
        <c:ser>
          <c:idx val="1"/>
          <c:order val="1"/>
          <c:tx>
            <c:strRef>
              <c:f>Sheet2!$N$24</c:f>
              <c:strCache>
                <c:ptCount val="1"/>
                <c:pt idx="0">
                  <c:v>Additional oil revenues
</c:v>
                </c:pt>
              </c:strCache>
            </c:strRef>
          </c:tx>
          <c:spPr>
            <a:pattFill prst="wdUpDiag">
              <a:fgClr>
                <a:srgbClr val="005400"/>
              </a:fgClr>
              <a:bgClr>
                <a:schemeClr val="bg1"/>
              </a:bgClr>
            </a:pattFill>
            <a:ln>
              <a:solidFill>
                <a:srgbClr val="3B3B3B"/>
              </a:solidFill>
            </a:ln>
          </c:spPr>
          <c:invertIfNegative val="0"/>
          <c:dLbls>
            <c:dLbl>
              <c:idx val="8"/>
              <c:layout>
                <c:manualLayout>
                  <c:x val="-3.1270145605654553E-2"/>
                  <c:y val="-0.28227336635189693"/>
                </c:manualLayout>
              </c:layout>
              <c:tx>
                <c:rich>
                  <a:bodyPr/>
                  <a:lstStyle/>
                  <a:p>
                    <a:pPr>
                      <a:defRPr sz="700" b="1">
                        <a:solidFill>
                          <a:srgbClr val="005400"/>
                        </a:solidFill>
                      </a:defRPr>
                    </a:pPr>
                    <a:r>
                      <a:rPr lang="ru-RU" sz="650" b="1" dirty="0">
                        <a:solidFill>
                          <a:srgbClr val="005400"/>
                        </a:solidFill>
                      </a:rPr>
                      <a:t>дополнитель-ные нефтегазовые доходы</a:t>
                    </a:r>
                  </a:p>
                </c:rich>
              </c:tx>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588695831330266"/>
                      <c:h val="0.25073785632790757"/>
                    </c:manualLayout>
                  </c15:layout>
                </c:ext>
                <c:ext xmlns:c16="http://schemas.microsoft.com/office/drawing/2014/chart" uri="{C3380CC4-5D6E-409C-BE32-E72D297353CC}">
                  <c16:uniqueId val="{00000002-BA21-4C3D-82B9-7468423BC744}"/>
                </c:ext>
              </c:extLst>
            </c:dLbl>
            <c:spPr>
              <a:noFill/>
              <a:ln>
                <a:noFill/>
              </a:ln>
              <a:effectLst/>
            </c:spPr>
            <c:txPr>
              <a:bodyPr/>
              <a:lstStyle/>
              <a:p>
                <a:pPr>
                  <a:defRPr sz="700"/>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Sheet2!$J$25:$J$36</c:f>
              <c:numCache>
                <c:formatCode>General</c:formatCode>
                <c:ptCount val="12"/>
                <c:pt idx="0">
                  <c:v>25</c:v>
                </c:pt>
                <c:pt idx="1">
                  <c:v>30</c:v>
                </c:pt>
                <c:pt idx="2">
                  <c:v>35</c:v>
                </c:pt>
                <c:pt idx="3">
                  <c:v>40</c:v>
                </c:pt>
                <c:pt idx="4">
                  <c:v>45</c:v>
                </c:pt>
                <c:pt idx="5">
                  <c:v>50</c:v>
                </c:pt>
                <c:pt idx="6">
                  <c:v>55</c:v>
                </c:pt>
                <c:pt idx="7">
                  <c:v>60</c:v>
                </c:pt>
                <c:pt idx="8">
                  <c:v>65</c:v>
                </c:pt>
                <c:pt idx="9">
                  <c:v>70</c:v>
                </c:pt>
                <c:pt idx="10">
                  <c:v>75</c:v>
                </c:pt>
                <c:pt idx="11">
                  <c:v>80</c:v>
                </c:pt>
              </c:numCache>
            </c:numRef>
          </c:cat>
          <c:val>
            <c:numRef>
              <c:f>Sheet2!$N$25:$N$36</c:f>
              <c:numCache>
                <c:formatCode>0.0</c:formatCode>
                <c:ptCount val="12"/>
                <c:pt idx="0">
                  <c:v>#N/A</c:v>
                </c:pt>
                <c:pt idx="1">
                  <c:v>#N/A</c:v>
                </c:pt>
                <c:pt idx="2">
                  <c:v>#N/A</c:v>
                </c:pt>
                <c:pt idx="3">
                  <c:v>#N/A</c:v>
                </c:pt>
                <c:pt idx="4">
                  <c:v>0.59256221994390579</c:v>
                </c:pt>
                <c:pt idx="5">
                  <c:v>1.3403568678615141</c:v>
                </c:pt>
                <c:pt idx="6">
                  <c:v>2.0881515157791242</c:v>
                </c:pt>
                <c:pt idx="7">
                  <c:v>2.8359461636967334</c:v>
                </c:pt>
                <c:pt idx="8">
                  <c:v>3.5837408116143417</c:v>
                </c:pt>
                <c:pt idx="9">
                  <c:v>4.3315354595319526</c:v>
                </c:pt>
                <c:pt idx="10">
                  <c:v>5.0793301074495609</c:v>
                </c:pt>
                <c:pt idx="11">
                  <c:v>5.8271247553671701</c:v>
                </c:pt>
              </c:numCache>
            </c:numRef>
          </c:val>
          <c:extLst xmlns:c16r2="http://schemas.microsoft.com/office/drawing/2015/06/chart">
            <c:ext xmlns:c16="http://schemas.microsoft.com/office/drawing/2014/chart" uri="{C3380CC4-5D6E-409C-BE32-E72D297353CC}">
              <c16:uniqueId val="{00000003-BA21-4C3D-82B9-7468423BC744}"/>
            </c:ext>
          </c:extLst>
        </c:ser>
        <c:ser>
          <c:idx val="2"/>
          <c:order val="2"/>
          <c:tx>
            <c:strRef>
              <c:f>Sheet2!$O$24</c:f>
              <c:strCache>
                <c:ptCount val="1"/>
                <c:pt idx="0">
                  <c:v>Unreceived oil revenues
</c:v>
                </c:pt>
              </c:strCache>
            </c:strRef>
          </c:tx>
          <c:spPr>
            <a:pattFill prst="wdUpDiag">
              <a:fgClr>
                <a:srgbClr val="FF0000"/>
              </a:fgClr>
              <a:bgClr>
                <a:schemeClr val="bg1"/>
              </a:bgClr>
            </a:pattFill>
            <a:ln>
              <a:solidFill>
                <a:srgbClr val="3B3B3B"/>
              </a:solidFill>
            </a:ln>
          </c:spPr>
          <c:invertIfNegative val="0"/>
          <c:dLbls>
            <c:dLbl>
              <c:idx val="0"/>
              <c:layout>
                <c:manualLayout>
                  <c:x val="7.9673309285919272E-2"/>
                  <c:y val="-0.29099588053204878"/>
                </c:manualLayout>
              </c:layout>
              <c:tx>
                <c:rich>
                  <a:bodyPr/>
                  <a:lstStyle/>
                  <a:p>
                    <a:pPr>
                      <a:defRPr sz="700" b="1">
                        <a:solidFill>
                          <a:srgbClr val="FF0000"/>
                        </a:solidFill>
                      </a:defRPr>
                    </a:pPr>
                    <a:r>
                      <a:rPr lang="ru-RU" sz="650" b="1" dirty="0">
                        <a:solidFill>
                          <a:srgbClr val="FF0000"/>
                        </a:solidFill>
                      </a:rPr>
                      <a:t>выпадающие нефтегазовые доходы</a:t>
                    </a:r>
                  </a:p>
                </c:rich>
              </c:tx>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126004676764004"/>
                      <c:h val="0.19173369095072676"/>
                    </c:manualLayout>
                  </c15:layout>
                </c:ext>
                <c:ext xmlns:c16="http://schemas.microsoft.com/office/drawing/2014/chart" uri="{C3380CC4-5D6E-409C-BE32-E72D297353CC}">
                  <c16:uniqueId val="{00000004-BA21-4C3D-82B9-7468423BC744}"/>
                </c:ext>
              </c:extLst>
            </c:dLbl>
            <c:spPr>
              <a:noFill/>
              <a:ln>
                <a:noFill/>
              </a:ln>
              <a:effectLst/>
            </c:spPr>
            <c:txPr>
              <a:bodyPr/>
              <a:lstStyle/>
              <a:p>
                <a:pPr>
                  <a:defRPr sz="800"/>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Sheet2!$J$25:$J$36</c:f>
              <c:numCache>
                <c:formatCode>General</c:formatCode>
                <c:ptCount val="12"/>
                <c:pt idx="0">
                  <c:v>25</c:v>
                </c:pt>
                <c:pt idx="1">
                  <c:v>30</c:v>
                </c:pt>
                <c:pt idx="2">
                  <c:v>35</c:v>
                </c:pt>
                <c:pt idx="3">
                  <c:v>40</c:v>
                </c:pt>
                <c:pt idx="4">
                  <c:v>45</c:v>
                </c:pt>
                <c:pt idx="5">
                  <c:v>50</c:v>
                </c:pt>
                <c:pt idx="6">
                  <c:v>55</c:v>
                </c:pt>
                <c:pt idx="7">
                  <c:v>60</c:v>
                </c:pt>
                <c:pt idx="8">
                  <c:v>65</c:v>
                </c:pt>
                <c:pt idx="9">
                  <c:v>70</c:v>
                </c:pt>
                <c:pt idx="10">
                  <c:v>75</c:v>
                </c:pt>
                <c:pt idx="11">
                  <c:v>80</c:v>
                </c:pt>
              </c:numCache>
            </c:numRef>
          </c:cat>
          <c:val>
            <c:numRef>
              <c:f>Sheet2!$O$25:$O$36</c:f>
              <c:numCache>
                <c:formatCode>0.0</c:formatCode>
                <c:ptCount val="12"/>
                <c:pt idx="0">
                  <c:v>2.3986163717265305</c:v>
                </c:pt>
                <c:pt idx="1">
                  <c:v>1.6508217238089209</c:v>
                </c:pt>
                <c:pt idx="2">
                  <c:v>0.90302707589131259</c:v>
                </c:pt>
                <c:pt idx="3">
                  <c:v>0</c:v>
                </c:pt>
                <c:pt idx="4">
                  <c:v>#N/A</c:v>
                </c:pt>
                <c:pt idx="5">
                  <c:v>#N/A</c:v>
                </c:pt>
                <c:pt idx="6">
                  <c:v>#N/A</c:v>
                </c:pt>
                <c:pt idx="7">
                  <c:v>#N/A</c:v>
                </c:pt>
                <c:pt idx="8">
                  <c:v>#N/A</c:v>
                </c:pt>
                <c:pt idx="9">
                  <c:v>#N/A</c:v>
                </c:pt>
                <c:pt idx="10">
                  <c:v>#N/A</c:v>
                </c:pt>
                <c:pt idx="11">
                  <c:v>#N/A</c:v>
                </c:pt>
              </c:numCache>
            </c:numRef>
          </c:val>
          <c:extLst xmlns:c16r2="http://schemas.microsoft.com/office/drawing/2015/06/chart">
            <c:ext xmlns:c16="http://schemas.microsoft.com/office/drawing/2014/chart" uri="{C3380CC4-5D6E-409C-BE32-E72D297353CC}">
              <c16:uniqueId val="{00000005-BA21-4C3D-82B9-7468423BC744}"/>
            </c:ext>
          </c:extLst>
        </c:ser>
        <c:dLbls>
          <c:showLegendKey val="0"/>
          <c:showVal val="0"/>
          <c:showCatName val="0"/>
          <c:showSerName val="0"/>
          <c:showPercent val="0"/>
          <c:showBubbleSize val="0"/>
        </c:dLbls>
        <c:gapWidth val="40"/>
        <c:overlap val="100"/>
        <c:axId val="225489920"/>
        <c:axId val="197471616"/>
      </c:barChart>
      <c:lineChart>
        <c:grouping val="standard"/>
        <c:varyColors val="0"/>
        <c:ser>
          <c:idx val="3"/>
          <c:order val="3"/>
          <c:spPr>
            <a:ln>
              <a:solidFill>
                <a:srgbClr val="000000"/>
              </a:solidFill>
            </a:ln>
          </c:spPr>
          <c:marker>
            <c:symbol val="none"/>
          </c:marker>
          <c:cat>
            <c:numRef>
              <c:f>Sheet2!$J$25:$J$36</c:f>
              <c:numCache>
                <c:formatCode>General</c:formatCode>
                <c:ptCount val="12"/>
                <c:pt idx="0">
                  <c:v>25</c:v>
                </c:pt>
                <c:pt idx="1">
                  <c:v>30</c:v>
                </c:pt>
                <c:pt idx="2">
                  <c:v>35</c:v>
                </c:pt>
                <c:pt idx="3">
                  <c:v>40</c:v>
                </c:pt>
                <c:pt idx="4">
                  <c:v>45</c:v>
                </c:pt>
                <c:pt idx="5">
                  <c:v>50</c:v>
                </c:pt>
                <c:pt idx="6">
                  <c:v>55</c:v>
                </c:pt>
                <c:pt idx="7">
                  <c:v>60</c:v>
                </c:pt>
                <c:pt idx="8">
                  <c:v>65</c:v>
                </c:pt>
                <c:pt idx="9">
                  <c:v>70</c:v>
                </c:pt>
                <c:pt idx="10">
                  <c:v>75</c:v>
                </c:pt>
                <c:pt idx="11">
                  <c:v>80</c:v>
                </c:pt>
              </c:numCache>
            </c:numRef>
          </c:cat>
          <c:val>
            <c:numRef>
              <c:f>Sheet2!$K$25:$K$36</c:f>
              <c:numCache>
                <c:formatCode>0.0</c:formatCode>
                <c:ptCount val="12"/>
                <c:pt idx="0">
                  <c:v>5.4346484700718856</c:v>
                </c:pt>
                <c:pt idx="1">
                  <c:v>5.3423761805351067</c:v>
                </c:pt>
                <c:pt idx="2">
                  <c:v>5.2501038909983286</c:v>
                </c:pt>
                <c:pt idx="3">
                  <c:v>5.1578316014615497</c:v>
                </c:pt>
                <c:pt idx="4">
                  <c:v>5.0655593119247708</c:v>
                </c:pt>
                <c:pt idx="5">
                  <c:v>4.9732870223879928</c:v>
                </c:pt>
                <c:pt idx="6">
                  <c:v>4.881014732851213</c:v>
                </c:pt>
                <c:pt idx="7">
                  <c:v>4.788742443314435</c:v>
                </c:pt>
                <c:pt idx="8">
                  <c:v>4.6964701537776561</c:v>
                </c:pt>
                <c:pt idx="9">
                  <c:v>4.6041978642408772</c:v>
                </c:pt>
                <c:pt idx="10">
                  <c:v>4.5119255747040992</c:v>
                </c:pt>
                <c:pt idx="11">
                  <c:v>4.4196532851673203</c:v>
                </c:pt>
              </c:numCache>
            </c:numRef>
          </c:val>
          <c:smooth val="0"/>
          <c:extLst xmlns:c16r2="http://schemas.microsoft.com/office/drawing/2015/06/chart">
            <c:ext xmlns:c16="http://schemas.microsoft.com/office/drawing/2014/chart" uri="{C3380CC4-5D6E-409C-BE32-E72D297353CC}">
              <c16:uniqueId val="{00000006-BA21-4C3D-82B9-7468423BC744}"/>
            </c:ext>
          </c:extLst>
        </c:ser>
        <c:dLbls>
          <c:showLegendKey val="0"/>
          <c:showVal val="0"/>
          <c:showCatName val="0"/>
          <c:showSerName val="0"/>
          <c:showPercent val="0"/>
          <c:showBubbleSize val="0"/>
        </c:dLbls>
        <c:marker val="1"/>
        <c:smooth val="0"/>
        <c:axId val="225489920"/>
        <c:axId val="197471616"/>
      </c:lineChart>
      <c:catAx>
        <c:axId val="225489920"/>
        <c:scaling>
          <c:orientation val="minMax"/>
        </c:scaling>
        <c:delete val="0"/>
        <c:axPos val="b"/>
        <c:title>
          <c:tx>
            <c:rich>
              <a:bodyPr/>
              <a:lstStyle/>
              <a:p>
                <a:pPr>
                  <a:defRPr b="0" i="1"/>
                </a:pPr>
                <a:r>
                  <a:rPr lang="ru-RU" sz="800" b="0" i="1" dirty="0"/>
                  <a:t>Юралс</a:t>
                </a:r>
                <a:r>
                  <a:rPr lang="en-US" sz="800" b="0" i="1" dirty="0"/>
                  <a:t>, $/</a:t>
                </a:r>
                <a:r>
                  <a:rPr lang="ru-RU" sz="800" b="0" i="1" dirty="0"/>
                  <a:t>баррель</a:t>
                </a:r>
              </a:p>
            </c:rich>
          </c:tx>
          <c:layout>
            <c:manualLayout>
              <c:xMode val="edge"/>
              <c:yMode val="edge"/>
              <c:x val="0.83213718578064766"/>
              <c:y val="0.92746551114720444"/>
            </c:manualLayout>
          </c:layout>
          <c:overlay val="0"/>
        </c:title>
        <c:numFmt formatCode="General" sourceLinked="1"/>
        <c:majorTickMark val="out"/>
        <c:minorTickMark val="none"/>
        <c:tickLblPos val="nextTo"/>
        <c:spPr>
          <a:ln w="3175">
            <a:solidFill>
              <a:schemeClr val="tx1"/>
            </a:solidFill>
          </a:ln>
        </c:spPr>
        <c:txPr>
          <a:bodyPr/>
          <a:lstStyle/>
          <a:p>
            <a:pPr>
              <a:defRPr sz="800"/>
            </a:pPr>
            <a:endParaRPr lang="ru-RU"/>
          </a:p>
        </c:txPr>
        <c:crossAx val="197471616"/>
        <c:crosses val="autoZero"/>
        <c:auto val="1"/>
        <c:lblAlgn val="ctr"/>
        <c:lblOffset val="100"/>
        <c:noMultiLvlLbl val="0"/>
      </c:catAx>
      <c:valAx>
        <c:axId val="197471616"/>
        <c:scaling>
          <c:orientation val="minMax"/>
        </c:scaling>
        <c:delete val="0"/>
        <c:axPos val="l"/>
        <c:title>
          <c:tx>
            <c:rich>
              <a:bodyPr rot="-5400000" vert="horz"/>
              <a:lstStyle/>
              <a:p>
                <a:pPr>
                  <a:defRPr sz="900" b="0" i="1"/>
                </a:pPr>
                <a:r>
                  <a:rPr lang="ru-RU" sz="800" b="0" i="1" dirty="0"/>
                  <a:t>нефтегазовые доходы</a:t>
                </a:r>
                <a:r>
                  <a:rPr lang="en-US" sz="800" b="0" i="1" dirty="0"/>
                  <a:t>, %</a:t>
                </a:r>
                <a:r>
                  <a:rPr lang="ru-RU" sz="800" b="0" i="1" dirty="0"/>
                  <a:t> ВВП</a:t>
                </a:r>
                <a:endParaRPr lang="en-US" sz="800" b="0" i="1" dirty="0"/>
              </a:p>
            </c:rich>
          </c:tx>
          <c:layout>
            <c:manualLayout>
              <c:xMode val="edge"/>
              <c:yMode val="edge"/>
              <c:x val="2.2082844697604289E-3"/>
              <c:y val="4.3407238568863103E-2"/>
            </c:manualLayout>
          </c:layout>
          <c:overlay val="0"/>
        </c:title>
        <c:numFmt formatCode="0.0" sourceLinked="0"/>
        <c:majorTickMark val="out"/>
        <c:minorTickMark val="none"/>
        <c:tickLblPos val="nextTo"/>
        <c:spPr>
          <a:ln w="3175">
            <a:solidFill>
              <a:sysClr val="windowText" lastClr="000000"/>
            </a:solidFill>
          </a:ln>
        </c:spPr>
        <c:txPr>
          <a:bodyPr/>
          <a:lstStyle/>
          <a:p>
            <a:pPr>
              <a:defRPr sz="800"/>
            </a:pPr>
            <a:endParaRPr lang="ru-RU"/>
          </a:p>
        </c:txPr>
        <c:crossAx val="225489920"/>
        <c:crosses val="autoZero"/>
        <c:crossBetween val="between"/>
      </c:valAx>
      <c:spPr>
        <a:noFill/>
      </c:spPr>
    </c:plotArea>
    <c:plotVisOnly val="1"/>
    <c:dispBlanksAs val="gap"/>
    <c:showDLblsOverMax val="0"/>
  </c:chart>
  <c:spPr>
    <a:ln>
      <a:noFill/>
    </a:ln>
  </c:spPr>
  <c:txPr>
    <a:bodyPr/>
    <a:lstStyle/>
    <a:p>
      <a:pPr>
        <a:defRPr>
          <a:latin typeface="Century" panose="02040604050505020304" pitchFamily="18" charset="0"/>
        </a:defRPr>
      </a:pPr>
      <a:endParaRPr lang="ru-RU"/>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045727916873"/>
          <c:y val="8.6666933130820578E-2"/>
          <c:w val="0.77114680305526639"/>
          <c:h val="0.75518232809731267"/>
        </c:manualLayout>
      </c:layout>
      <c:scatterChart>
        <c:scatterStyle val="smoothMarker"/>
        <c:varyColors val="0"/>
        <c:ser>
          <c:idx val="6"/>
          <c:order val="0"/>
          <c:tx>
            <c:strRef>
              <c:f>'Fisc_BE (2)'!$B$8</c:f>
              <c:strCache>
                <c:ptCount val="1"/>
                <c:pt idx="0">
                  <c:v>Казахстан</c:v>
                </c:pt>
              </c:strCache>
            </c:strRef>
          </c:tx>
          <c:spPr>
            <a:ln w="3175">
              <a:solidFill>
                <a:schemeClr val="tx1"/>
              </a:solidFill>
              <a:headEnd type="oval"/>
              <a:tailEnd type="triangle"/>
            </a:ln>
          </c:spPr>
          <c:marker>
            <c:symbol val="none"/>
          </c:marker>
          <c:xVal>
            <c:numRef>
              <c:f>'Fisc_BE (2)'!$C$8:$G$8</c:f>
              <c:numCache>
                <c:formatCode>0.0</c:formatCode>
                <c:ptCount val="5"/>
                <c:pt idx="0">
                  <c:v>48.8</c:v>
                </c:pt>
                <c:pt idx="1">
                  <c:v>66.694364876645295</c:v>
                </c:pt>
                <c:pt idx="2">
                  <c:v>63.903313743088198</c:v>
                </c:pt>
                <c:pt idx="3">
                  <c:v>61.621789078639203</c:v>
                </c:pt>
                <c:pt idx="4">
                  <c:v>60.559021548033201</c:v>
                </c:pt>
              </c:numCache>
            </c:numRef>
          </c:xVal>
          <c:yVal>
            <c:numRef>
              <c:f>'Fisc_BE (2)'!$J$8:$N$8</c:f>
              <c:numCache>
                <c:formatCode>0.0</c:formatCode>
                <c:ptCount val="5"/>
                <c:pt idx="0">
                  <c:v>5</c:v>
                </c:pt>
                <c:pt idx="1">
                  <c:v>2.4278556112348455</c:v>
                </c:pt>
                <c:pt idx="2">
                  <c:v>-6.3008080097702992</c:v>
                </c:pt>
                <c:pt idx="3">
                  <c:v>-4.4095703717233032</c:v>
                </c:pt>
                <c:pt idx="4">
                  <c:v>-6.2930671221964367</c:v>
                </c:pt>
              </c:numCache>
            </c:numRef>
          </c:yVal>
          <c:smooth val="1"/>
          <c:extLst xmlns:c16r2="http://schemas.microsoft.com/office/drawing/2015/06/chart">
            <c:ext xmlns:c16="http://schemas.microsoft.com/office/drawing/2014/chart" uri="{C3380CC4-5D6E-409C-BE32-E72D297353CC}">
              <c16:uniqueId val="{00000000-039A-401A-A1D4-0CC30762D87E}"/>
            </c:ext>
          </c:extLst>
        </c:ser>
        <c:ser>
          <c:idx val="9"/>
          <c:order val="1"/>
          <c:tx>
            <c:strRef>
              <c:f>'Fisc_BE (2)'!$B$11</c:f>
              <c:strCache>
                <c:ptCount val="1"/>
                <c:pt idx="0">
                  <c:v>Оман</c:v>
                </c:pt>
              </c:strCache>
            </c:strRef>
          </c:tx>
          <c:spPr>
            <a:ln w="3175">
              <a:solidFill>
                <a:schemeClr val="bg2">
                  <a:lumMod val="50000"/>
                </a:schemeClr>
              </a:solidFill>
              <a:headEnd type="oval"/>
              <a:tailEnd type="triangle"/>
            </a:ln>
          </c:spPr>
          <c:marker>
            <c:symbol val="none"/>
          </c:marker>
          <c:xVal>
            <c:numRef>
              <c:f>'Fisc_BE (2)'!$C$11:$G$11</c:f>
              <c:numCache>
                <c:formatCode>0.0</c:formatCode>
                <c:ptCount val="5"/>
                <c:pt idx="0">
                  <c:v>90.8</c:v>
                </c:pt>
                <c:pt idx="1">
                  <c:v>94.042052552348807</c:v>
                </c:pt>
                <c:pt idx="2">
                  <c:v>100.258857428064</c:v>
                </c:pt>
                <c:pt idx="3">
                  <c:v>80.1418091509249</c:v>
                </c:pt>
                <c:pt idx="4">
                  <c:v>79.230304861800604</c:v>
                </c:pt>
              </c:numCache>
            </c:numRef>
          </c:xVal>
          <c:yVal>
            <c:numRef>
              <c:f>'Fisc_BE (2)'!$J$11:$N$11</c:f>
              <c:numCache>
                <c:formatCode>0.0</c:formatCode>
                <c:ptCount val="5"/>
                <c:pt idx="0">
                  <c:v>4.8</c:v>
                </c:pt>
                <c:pt idx="1">
                  <c:v>-1.0804252844419417</c:v>
                </c:pt>
                <c:pt idx="2">
                  <c:v>-15.122431117831525</c:v>
                </c:pt>
                <c:pt idx="3">
                  <c:v>-20.558079445952387</c:v>
                </c:pt>
                <c:pt idx="4">
                  <c:v>-10.127793114099216</c:v>
                </c:pt>
              </c:numCache>
            </c:numRef>
          </c:yVal>
          <c:smooth val="1"/>
          <c:extLst xmlns:c16r2="http://schemas.microsoft.com/office/drawing/2015/06/chart">
            <c:ext xmlns:c16="http://schemas.microsoft.com/office/drawing/2014/chart" uri="{C3380CC4-5D6E-409C-BE32-E72D297353CC}">
              <c16:uniqueId val="{00000001-039A-401A-A1D4-0CC30762D87E}"/>
            </c:ext>
          </c:extLst>
        </c:ser>
        <c:ser>
          <c:idx val="10"/>
          <c:order val="2"/>
          <c:tx>
            <c:strRef>
              <c:f>'Fisc_BE (2)'!$B$12</c:f>
              <c:strCache>
                <c:ptCount val="1"/>
                <c:pt idx="0">
                  <c:v>С.Аравия</c:v>
                </c:pt>
              </c:strCache>
            </c:strRef>
          </c:tx>
          <c:spPr>
            <a:ln w="3175">
              <a:solidFill>
                <a:srgbClr val="FF0000"/>
              </a:solidFill>
              <a:prstDash val="solid"/>
              <a:headEnd type="oval"/>
              <a:tailEnd type="triangle"/>
            </a:ln>
          </c:spPr>
          <c:marker>
            <c:symbol val="none"/>
          </c:marker>
          <c:xVal>
            <c:numRef>
              <c:f>'Fisc_BE (2)'!$C$12:$G$12</c:f>
              <c:numCache>
                <c:formatCode>0.0</c:formatCode>
                <c:ptCount val="5"/>
                <c:pt idx="0">
                  <c:v>89</c:v>
                </c:pt>
                <c:pt idx="1">
                  <c:v>105.747877826391</c:v>
                </c:pt>
                <c:pt idx="2">
                  <c:v>93.791900376358697</c:v>
                </c:pt>
                <c:pt idx="3">
                  <c:v>93.725186912439597</c:v>
                </c:pt>
                <c:pt idx="4">
                  <c:v>83.848798759205593</c:v>
                </c:pt>
              </c:numCache>
            </c:numRef>
          </c:xVal>
          <c:yVal>
            <c:numRef>
              <c:f>'Fisc_BE (2)'!$J$12:$N$12</c:f>
              <c:numCache>
                <c:formatCode>0.0</c:formatCode>
                <c:ptCount val="5"/>
                <c:pt idx="0">
                  <c:v>8.6999999999999993</c:v>
                </c:pt>
                <c:pt idx="1">
                  <c:v>-3.3895755792926376</c:v>
                </c:pt>
                <c:pt idx="2">
                  <c:v>-15.820450895425116</c:v>
                </c:pt>
                <c:pt idx="3">
                  <c:v>-16.901877260634439</c:v>
                </c:pt>
                <c:pt idx="4">
                  <c:v>-9.8462892457838915</c:v>
                </c:pt>
              </c:numCache>
            </c:numRef>
          </c:yVal>
          <c:smooth val="1"/>
          <c:extLst xmlns:c16r2="http://schemas.microsoft.com/office/drawing/2015/06/chart">
            <c:ext xmlns:c16="http://schemas.microsoft.com/office/drawing/2014/chart" uri="{C3380CC4-5D6E-409C-BE32-E72D297353CC}">
              <c16:uniqueId val="{00000002-039A-401A-A1D4-0CC30762D87E}"/>
            </c:ext>
          </c:extLst>
        </c:ser>
        <c:ser>
          <c:idx val="11"/>
          <c:order val="3"/>
          <c:tx>
            <c:strRef>
              <c:f>'Fisc_BE (2)'!$B$14</c:f>
              <c:strCache>
                <c:ptCount val="1"/>
                <c:pt idx="0">
                  <c:v>Россия</c:v>
                </c:pt>
              </c:strCache>
            </c:strRef>
          </c:tx>
          <c:spPr>
            <a:ln w="15875">
              <a:solidFill>
                <a:srgbClr val="004800"/>
              </a:solidFill>
              <a:headEnd type="oval"/>
              <a:tailEnd type="triangle"/>
            </a:ln>
          </c:spPr>
          <c:marker>
            <c:symbol val="none"/>
          </c:marker>
          <c:dLbls>
            <c:dLbl>
              <c:idx val="0"/>
              <c:layout>
                <c:manualLayout>
                  <c:x val="-4.5399757722592367E-2"/>
                  <c:y val="7.3832420693606196E-2"/>
                </c:manualLayout>
              </c:layout>
              <c:tx>
                <c:rich>
                  <a:bodyPr/>
                  <a:lstStyle/>
                  <a:p>
                    <a:pPr>
                      <a:defRPr/>
                    </a:pPr>
                    <a:r>
                      <a:rPr lang="en-US"/>
                      <a:t>2012</a:t>
                    </a:r>
                  </a:p>
                </c:rich>
              </c:tx>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39A-401A-A1D4-0CC30762D87E}"/>
                </c:ext>
              </c:extLst>
            </c:dLbl>
            <c:dLbl>
              <c:idx val="4"/>
              <c:layout>
                <c:manualLayout>
                  <c:x val="-0.11071782693829937"/>
                  <c:y val="1.172681986180299E-2"/>
                </c:manualLayout>
              </c:layout>
              <c:tx>
                <c:rich>
                  <a:bodyPr/>
                  <a:lstStyle/>
                  <a:p>
                    <a:pPr>
                      <a:defRPr/>
                    </a:pPr>
                    <a:r>
                      <a:rPr lang="en-US"/>
                      <a:t>2017</a:t>
                    </a:r>
                  </a:p>
                </c:rich>
              </c:tx>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39A-401A-A1D4-0CC30762D87E}"/>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xVal>
            <c:numRef>
              <c:f>'Fisc_BE (2)'!$C$14:$G$14</c:f>
              <c:numCache>
                <c:formatCode>0.0</c:formatCode>
                <c:ptCount val="5"/>
                <c:pt idx="0">
                  <c:v>122.64736281190301</c:v>
                </c:pt>
                <c:pt idx="1">
                  <c:v>110.14007285239497</c:v>
                </c:pt>
                <c:pt idx="2">
                  <c:v>77.483645316297114</c:v>
                </c:pt>
                <c:pt idx="3">
                  <c:v>72.116980562808095</c:v>
                </c:pt>
                <c:pt idx="4">
                  <c:v>60</c:v>
                </c:pt>
              </c:numCache>
            </c:numRef>
          </c:xVal>
          <c:yVal>
            <c:numRef>
              <c:f>'Fisc_BE (2)'!$J$14:$N$14</c:f>
              <c:numCache>
                <c:formatCode>0.0</c:formatCode>
                <c:ptCount val="5"/>
                <c:pt idx="0">
                  <c:v>-1.1943997903168344</c:v>
                </c:pt>
                <c:pt idx="1">
                  <c:v>-1.0676637528158566</c:v>
                </c:pt>
                <c:pt idx="2">
                  <c:v>-3.3874867687295582</c:v>
                </c:pt>
                <c:pt idx="3">
                  <c:v>-3.6517976489594837</c:v>
                </c:pt>
                <c:pt idx="4">
                  <c:v>-2.2999999999999998</c:v>
                </c:pt>
              </c:numCache>
            </c:numRef>
          </c:yVal>
          <c:smooth val="1"/>
          <c:extLst xmlns:c16r2="http://schemas.microsoft.com/office/drawing/2015/06/chart">
            <c:ext xmlns:c16="http://schemas.microsoft.com/office/drawing/2014/chart" uri="{C3380CC4-5D6E-409C-BE32-E72D297353CC}">
              <c16:uniqueId val="{00000005-039A-401A-A1D4-0CC30762D87E}"/>
            </c:ext>
          </c:extLst>
        </c:ser>
        <c:dLbls>
          <c:showLegendKey val="0"/>
          <c:showVal val="0"/>
          <c:showCatName val="0"/>
          <c:showSerName val="0"/>
          <c:showPercent val="0"/>
          <c:showBubbleSize val="0"/>
        </c:dLbls>
        <c:axId val="197472768"/>
        <c:axId val="197473344"/>
      </c:scatterChart>
      <c:valAx>
        <c:axId val="197472768"/>
        <c:scaling>
          <c:orientation val="minMax"/>
          <c:max val="125"/>
          <c:min val="40"/>
        </c:scaling>
        <c:delete val="0"/>
        <c:axPos val="b"/>
        <c:title>
          <c:tx>
            <c:rich>
              <a:bodyPr/>
              <a:lstStyle/>
              <a:p>
                <a:pPr>
                  <a:defRPr b="0" i="1"/>
                </a:pPr>
                <a:r>
                  <a:rPr lang="ru-RU" b="0" i="1"/>
                  <a:t>балансирующая бюджет цена на нефть, </a:t>
                </a:r>
                <a:r>
                  <a:rPr lang="en-US" b="0" i="1"/>
                  <a:t>$</a:t>
                </a:r>
                <a:r>
                  <a:rPr lang="ru-RU" b="0" i="1"/>
                  <a:t>/барр.</a:t>
                </a:r>
              </a:p>
            </c:rich>
          </c:tx>
          <c:layout>
            <c:manualLayout>
              <c:xMode val="edge"/>
              <c:yMode val="edge"/>
              <c:x val="0.16987443236262137"/>
              <c:y val="0.92907643687396213"/>
            </c:manualLayout>
          </c:layout>
          <c:overlay val="0"/>
        </c:title>
        <c:numFmt formatCode="0" sourceLinked="0"/>
        <c:majorTickMark val="out"/>
        <c:minorTickMark val="none"/>
        <c:tickLblPos val="low"/>
        <c:spPr>
          <a:ln w="3175">
            <a:solidFill>
              <a:schemeClr val="tx1"/>
            </a:solidFill>
          </a:ln>
        </c:spPr>
        <c:crossAx val="197473344"/>
        <c:crossesAt val="0"/>
        <c:crossBetween val="midCat"/>
        <c:majorUnit val="20"/>
      </c:valAx>
      <c:valAx>
        <c:axId val="197473344"/>
        <c:scaling>
          <c:orientation val="minMax"/>
          <c:max val="10"/>
          <c:min val="-25"/>
        </c:scaling>
        <c:delete val="0"/>
        <c:axPos val="l"/>
        <c:title>
          <c:tx>
            <c:rich>
              <a:bodyPr rot="-5400000" vert="horz"/>
              <a:lstStyle/>
              <a:p>
                <a:pPr>
                  <a:defRPr b="0" i="1"/>
                </a:pPr>
                <a:r>
                  <a:rPr lang="ru-RU" b="0" i="1"/>
                  <a:t>дефицит бюджета, %ВВП</a:t>
                </a:r>
              </a:p>
            </c:rich>
          </c:tx>
          <c:layout>
            <c:manualLayout>
              <c:xMode val="edge"/>
              <c:yMode val="edge"/>
              <c:x val="0"/>
              <c:y val="2.695341496409866E-2"/>
            </c:manualLayout>
          </c:layout>
          <c:overlay val="0"/>
        </c:title>
        <c:numFmt formatCode="#\,##0.0" sourceLinked="0"/>
        <c:majorTickMark val="out"/>
        <c:minorTickMark val="none"/>
        <c:tickLblPos val="nextTo"/>
        <c:spPr>
          <a:ln w="3175">
            <a:solidFill>
              <a:schemeClr val="tx1"/>
            </a:solidFill>
          </a:ln>
        </c:spPr>
        <c:crossAx val="197472768"/>
        <c:crosses val="autoZero"/>
        <c:crossBetween val="midCat"/>
        <c:majorUnit val="5"/>
      </c:valAx>
      <c:spPr>
        <a:noFill/>
      </c:spPr>
    </c:plotArea>
    <c:legend>
      <c:legendPos val="r"/>
      <c:layout>
        <c:manualLayout>
          <c:xMode val="edge"/>
          <c:yMode val="edge"/>
          <c:x val="0.12070644580571727"/>
          <c:y val="8.9268544854213556E-3"/>
          <c:w val="0.86077271309730352"/>
          <c:h val="0.13394673381563346"/>
        </c:manualLayout>
      </c:layout>
      <c:overlay val="0"/>
    </c:legend>
    <c:plotVisOnly val="1"/>
    <c:dispBlanksAs val="gap"/>
    <c:showDLblsOverMax val="0"/>
  </c:chart>
  <c:spPr>
    <a:noFill/>
    <a:ln>
      <a:noFill/>
    </a:ln>
  </c:spPr>
  <c:txPr>
    <a:bodyPr/>
    <a:lstStyle/>
    <a:p>
      <a:pPr>
        <a:defRPr sz="800">
          <a:latin typeface="Century" panose="02040604050505020304" pitchFamily="18" charset="0"/>
        </a:defRPr>
      </a:pPr>
      <a:endParaRPr lang="ru-RU"/>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Лист1!$AC$58</c:f>
              <c:strCache>
                <c:ptCount val="1"/>
                <c:pt idx="0">
                  <c:v>НДС, % от конечного внутреннего спроса</c:v>
                </c:pt>
              </c:strCache>
            </c:strRef>
          </c:tx>
          <c:spPr>
            <a:solidFill>
              <a:srgbClr val="006600"/>
            </a:solidFill>
          </c:spPr>
          <c:invertIfNegative val="0"/>
          <c:dLbls>
            <c:dLbl>
              <c:idx val="0"/>
              <c:layout>
                <c:manualLayout>
                  <c:x val="0"/>
                  <c:y val="0.12747689093166953"/>
                </c:manualLayout>
              </c:layout>
              <c:dLblPos val="outEnd"/>
              <c:showLegendKey val="0"/>
              <c:showVal val="1"/>
              <c:showCatName val="0"/>
              <c:showSerName val="0"/>
              <c:showPercent val="0"/>
              <c:showBubbleSize val="0"/>
            </c:dLbl>
            <c:dLbl>
              <c:idx val="1"/>
              <c:layout>
                <c:manualLayout>
                  <c:x val="0"/>
                  <c:y val="0.17042958578532588"/>
                </c:manualLayout>
              </c:layout>
              <c:dLblPos val="outEnd"/>
              <c:showLegendKey val="0"/>
              <c:showVal val="1"/>
              <c:showCatName val="0"/>
              <c:showSerName val="0"/>
              <c:showPercent val="0"/>
              <c:showBubbleSize val="0"/>
            </c:dLbl>
            <c:dLbl>
              <c:idx val="2"/>
              <c:layout>
                <c:manualLayout>
                  <c:x val="5.5555555555555558E-3"/>
                  <c:y val="0.13649105478550866"/>
                </c:manualLayout>
              </c:layout>
              <c:dLblPos val="outEnd"/>
              <c:showLegendKey val="0"/>
              <c:showVal val="1"/>
              <c:showCatName val="0"/>
              <c:showSerName val="0"/>
              <c:showPercent val="0"/>
              <c:showBubbleSize val="0"/>
            </c:dLbl>
            <c:dLbl>
              <c:idx val="3"/>
              <c:layout>
                <c:manualLayout>
                  <c:x val="1.0185067526415994E-16"/>
                  <c:y val="0.12171077573636628"/>
                </c:manualLayout>
              </c:layout>
              <c:dLblPos val="outEnd"/>
              <c:showLegendKey val="0"/>
              <c:showVal val="1"/>
              <c:showCatName val="0"/>
              <c:showSerName val="0"/>
              <c:showPercent val="0"/>
              <c:showBubbleSize val="0"/>
            </c:dLbl>
            <c:txPr>
              <a:bodyPr/>
              <a:lstStyle/>
              <a:p>
                <a:pPr>
                  <a:defRPr b="1">
                    <a:solidFill>
                      <a:schemeClr val="bg1"/>
                    </a:solidFill>
                    <a:latin typeface="Century" panose="02040604050505020304" pitchFamily="18" charset="0"/>
                  </a:defRPr>
                </a:pPr>
                <a:endParaRPr lang="ru-RU"/>
              </a:p>
            </c:txPr>
            <c:dLblPos val="inBase"/>
            <c:showLegendKey val="0"/>
            <c:showVal val="1"/>
            <c:showCatName val="0"/>
            <c:showSerName val="0"/>
            <c:showPercent val="0"/>
            <c:showBubbleSize val="0"/>
            <c:showLeaderLines val="0"/>
          </c:dLbls>
          <c:cat>
            <c:numRef>
              <c:f>Лист1!$AB$60:$AB$63</c:f>
              <c:numCache>
                <c:formatCode>General</c:formatCode>
                <c:ptCount val="4"/>
                <c:pt idx="0">
                  <c:v>2014</c:v>
                </c:pt>
                <c:pt idx="1">
                  <c:v>2015</c:v>
                </c:pt>
                <c:pt idx="2">
                  <c:v>2016</c:v>
                </c:pt>
                <c:pt idx="3">
                  <c:v>2017</c:v>
                </c:pt>
              </c:numCache>
            </c:numRef>
          </c:cat>
          <c:val>
            <c:numRef>
              <c:f>Лист1!$AC$60:$AC$63</c:f>
              <c:numCache>
                <c:formatCode>0.0</c:formatCode>
                <c:ptCount val="4"/>
                <c:pt idx="0">
                  <c:v>5.3040685670506837</c:v>
                </c:pt>
                <c:pt idx="1">
                  <c:v>5.521164923993636</c:v>
                </c:pt>
                <c:pt idx="2">
                  <c:v>5.6623337665925648</c:v>
                </c:pt>
                <c:pt idx="3">
                  <c:v>5.9239923327912827</c:v>
                </c:pt>
              </c:numCache>
            </c:numRef>
          </c:val>
        </c:ser>
        <c:dLbls>
          <c:showLegendKey val="0"/>
          <c:showVal val="0"/>
          <c:showCatName val="0"/>
          <c:showSerName val="0"/>
          <c:showPercent val="0"/>
          <c:showBubbleSize val="0"/>
        </c:dLbls>
        <c:gapWidth val="50"/>
        <c:axId val="40606720"/>
        <c:axId val="197475648"/>
      </c:barChart>
      <c:catAx>
        <c:axId val="40606720"/>
        <c:scaling>
          <c:orientation val="minMax"/>
        </c:scaling>
        <c:delete val="0"/>
        <c:axPos val="b"/>
        <c:numFmt formatCode="General" sourceLinked="1"/>
        <c:majorTickMark val="out"/>
        <c:minorTickMark val="none"/>
        <c:tickLblPos val="low"/>
        <c:txPr>
          <a:bodyPr/>
          <a:lstStyle/>
          <a:p>
            <a:pPr>
              <a:defRPr>
                <a:latin typeface="Century" panose="02040604050505020304" pitchFamily="18" charset="0"/>
              </a:defRPr>
            </a:pPr>
            <a:endParaRPr lang="ru-RU"/>
          </a:p>
        </c:txPr>
        <c:crossAx val="197475648"/>
        <c:crosses val="autoZero"/>
        <c:auto val="1"/>
        <c:lblAlgn val="ctr"/>
        <c:lblOffset val="100"/>
        <c:noMultiLvlLbl val="0"/>
      </c:catAx>
      <c:valAx>
        <c:axId val="197475648"/>
        <c:scaling>
          <c:orientation val="minMax"/>
          <c:min val="5"/>
        </c:scaling>
        <c:delete val="1"/>
        <c:axPos val="l"/>
        <c:numFmt formatCode="0.0" sourceLinked="1"/>
        <c:majorTickMark val="out"/>
        <c:minorTickMark val="none"/>
        <c:tickLblPos val="nextTo"/>
        <c:crossAx val="40606720"/>
        <c:crosses val="autoZero"/>
        <c:crossBetween val="between"/>
        <c:majorUnit val="1"/>
      </c:valAx>
    </c:plotArea>
    <c:legend>
      <c:legendPos val="b"/>
      <c:overlay val="0"/>
      <c:txPr>
        <a:bodyPr/>
        <a:lstStyle/>
        <a:p>
          <a:pPr>
            <a:defRPr>
              <a:latin typeface="Century" panose="02040604050505020304" pitchFamily="18" charset="0"/>
            </a:defRPr>
          </a:pPr>
          <a:endParaRPr lang="ru-RU"/>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14513014418278"/>
          <c:y val="3.7489985832701474E-2"/>
          <c:w val="0.79935255956275209"/>
          <c:h val="0.76174579973910461"/>
        </c:manualLayout>
      </c:layout>
      <c:lineChart>
        <c:grouping val="standard"/>
        <c:varyColors val="0"/>
        <c:ser>
          <c:idx val="0"/>
          <c:order val="0"/>
          <c:tx>
            <c:v>ФНС, онлайн кассы</c:v>
          </c:tx>
          <c:spPr>
            <a:ln w="28575" cap="rnd">
              <a:solidFill>
                <a:srgbClr val="006600"/>
              </a:solidFill>
              <a:round/>
            </a:ln>
            <a:effectLst/>
          </c:spPr>
          <c:marker>
            <c:symbol val="none"/>
          </c:marker>
          <c:cat>
            <c:numRef>
              <c:f>[Расчет.xlsx]Данные!$B$9:$B$24</c:f>
              <c:numCache>
                <c:formatCode>mmm\-yy</c:formatCode>
                <c:ptCount val="1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numCache>
            </c:numRef>
          </c:cat>
          <c:val>
            <c:numRef>
              <c:f>[Расчет.xlsx]Данные!$D$9:$D$24</c:f>
              <c:numCache>
                <c:formatCode>#\,##0</c:formatCode>
                <c:ptCount val="16"/>
                <c:pt idx="0">
                  <c:v>17.100000000000001</c:v>
                </c:pt>
                <c:pt idx="1">
                  <c:v>90.846000000000004</c:v>
                </c:pt>
                <c:pt idx="2">
                  <c:v>189.87299999999999</c:v>
                </c:pt>
                <c:pt idx="3">
                  <c:v>392.553</c:v>
                </c:pt>
                <c:pt idx="4">
                  <c:v>647.86500000000001</c:v>
                </c:pt>
                <c:pt idx="5">
                  <c:v>890.03699999999992</c:v>
                </c:pt>
                <c:pt idx="6">
                  <c:v>1547.2530000000002</c:v>
                </c:pt>
                <c:pt idx="7">
                  <c:v>1751.31</c:v>
                </c:pt>
                <c:pt idx="8">
                  <c:v>1750.932</c:v>
                </c:pt>
                <c:pt idx="9">
                  <c:v>1862.6399999999999</c:v>
                </c:pt>
                <c:pt idx="10">
                  <c:v>1846.1880000000001</c:v>
                </c:pt>
                <c:pt idx="11">
                  <c:v>2263.6530000000002</c:v>
                </c:pt>
                <c:pt idx="12">
                  <c:v>1704.0059999999999</c:v>
                </c:pt>
                <c:pt idx="13">
                  <c:v>1695.33</c:v>
                </c:pt>
                <c:pt idx="14">
                  <c:v>1955.6009999999999</c:v>
                </c:pt>
                <c:pt idx="15">
                  <c:v>2243.6999999999998</c:v>
                </c:pt>
              </c:numCache>
            </c:numRef>
          </c:val>
          <c:smooth val="1"/>
          <c:extLst xmlns:c16r2="http://schemas.microsoft.com/office/drawing/2015/06/chart">
            <c:ext xmlns:c16="http://schemas.microsoft.com/office/drawing/2014/chart" uri="{C3380CC4-5D6E-409C-BE32-E72D297353CC}">
              <c16:uniqueId val="{00000000-B472-4A6C-89B2-591689EDC473}"/>
            </c:ext>
          </c:extLst>
        </c:ser>
        <c:ser>
          <c:idx val="1"/>
          <c:order val="1"/>
          <c:tx>
            <c:v>Росстат, полный круг</c:v>
          </c:tx>
          <c:spPr>
            <a:ln w="9525" cap="rnd">
              <a:solidFill>
                <a:srgbClr val="666633"/>
              </a:solidFill>
              <a:round/>
            </a:ln>
            <a:effectLst/>
          </c:spPr>
          <c:marker>
            <c:symbol val="none"/>
          </c:marker>
          <c:cat>
            <c:numRef>
              <c:f>[Расчет.xlsx]Данные!$B$9:$B$24</c:f>
              <c:numCache>
                <c:formatCode>mmm\-yy</c:formatCode>
                <c:ptCount val="1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numCache>
            </c:numRef>
          </c:cat>
          <c:val>
            <c:numRef>
              <c:f>[Расчет.xlsx]Данные!$E$9:$E$24</c:f>
              <c:numCache>
                <c:formatCode>#\,##0</c:formatCode>
                <c:ptCount val="16"/>
                <c:pt idx="0">
                  <c:v>2173.58787014477</c:v>
                </c:pt>
                <c:pt idx="1">
                  <c:v>2136.0188048113901</c:v>
                </c:pt>
                <c:pt idx="2">
                  <c:v>2322.7675707124899</c:v>
                </c:pt>
                <c:pt idx="3">
                  <c:v>2300.38225675483</c:v>
                </c:pt>
                <c:pt idx="4">
                  <c:v>2351.30683584076</c:v>
                </c:pt>
                <c:pt idx="5">
                  <c:v>2384.3940941728797</c:v>
                </c:pt>
                <c:pt idx="6">
                  <c:v>2468.3947341163598</c:v>
                </c:pt>
                <c:pt idx="7">
                  <c:v>2536.5320203169299</c:v>
                </c:pt>
                <c:pt idx="8">
                  <c:v>2523.9902811708203</c:v>
                </c:pt>
                <c:pt idx="9">
                  <c:v>2549.4230960157797</c:v>
                </c:pt>
                <c:pt idx="10">
                  <c:v>2525.4199262880597</c:v>
                </c:pt>
                <c:pt idx="11">
                  <c:v>3032.9679873549399</c:v>
                </c:pt>
                <c:pt idx="12">
                  <c:v>2290.8999999999996</c:v>
                </c:pt>
                <c:pt idx="13">
                  <c:v>2236.1000000000004</c:v>
                </c:pt>
                <c:pt idx="14">
                  <c:v>2431.6</c:v>
                </c:pt>
                <c:pt idx="15">
                  <c:v>2421.6</c:v>
                </c:pt>
              </c:numCache>
            </c:numRef>
          </c:val>
          <c:smooth val="1"/>
          <c:extLst xmlns:c16r2="http://schemas.microsoft.com/office/drawing/2015/06/chart">
            <c:ext xmlns:c16="http://schemas.microsoft.com/office/drawing/2014/chart" uri="{C3380CC4-5D6E-409C-BE32-E72D297353CC}">
              <c16:uniqueId val="{00000001-B472-4A6C-89B2-591689EDC473}"/>
            </c:ext>
          </c:extLst>
        </c:ser>
        <c:ser>
          <c:idx val="2"/>
          <c:order val="2"/>
          <c:tx>
            <c:v>Росстат, организации</c:v>
          </c:tx>
          <c:spPr>
            <a:ln w="9525" cap="rnd">
              <a:solidFill>
                <a:schemeClr val="tx1"/>
              </a:solidFill>
              <a:round/>
            </a:ln>
            <a:effectLst/>
          </c:spPr>
          <c:marker>
            <c:symbol val="none"/>
          </c:marker>
          <c:cat>
            <c:numRef>
              <c:f>[Расчет.xlsx]Данные!$B$9:$B$24</c:f>
              <c:numCache>
                <c:formatCode>mmm\-yy</c:formatCode>
                <c:ptCount val="1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numCache>
            </c:numRef>
          </c:cat>
          <c:val>
            <c:numRef>
              <c:f>[Расчет.xlsx]Данные!$F$9:$F$24</c:f>
              <c:numCache>
                <c:formatCode>#\,##0</c:formatCode>
                <c:ptCount val="16"/>
                <c:pt idx="0">
                  <c:v>1140.0999999999999</c:v>
                </c:pt>
                <c:pt idx="1">
                  <c:v>1047.2</c:v>
                </c:pt>
                <c:pt idx="2">
                  <c:v>1161.0999999999999</c:v>
                </c:pt>
                <c:pt idx="3">
                  <c:v>1129</c:v>
                </c:pt>
                <c:pt idx="4">
                  <c:v>1161.0999999999999</c:v>
                </c:pt>
                <c:pt idx="5">
                  <c:v>1187</c:v>
                </c:pt>
                <c:pt idx="6">
                  <c:v>1205.7</c:v>
                </c:pt>
                <c:pt idx="7">
                  <c:v>1217.0999999999999</c:v>
                </c:pt>
                <c:pt idx="8">
                  <c:v>1192.8</c:v>
                </c:pt>
                <c:pt idx="9">
                  <c:v>1207.3</c:v>
                </c:pt>
                <c:pt idx="10">
                  <c:v>1190</c:v>
                </c:pt>
                <c:pt idx="11">
                  <c:v>1502.7</c:v>
                </c:pt>
                <c:pt idx="12">
                  <c:v>1190.5999999999999</c:v>
                </c:pt>
                <c:pt idx="13">
                  <c:v>1182.9000000000001</c:v>
                </c:pt>
                <c:pt idx="14">
                  <c:v>1323.5</c:v>
                </c:pt>
                <c:pt idx="15">
                  <c:v>1286.3</c:v>
                </c:pt>
              </c:numCache>
            </c:numRef>
          </c:val>
          <c:smooth val="1"/>
          <c:extLst xmlns:c16r2="http://schemas.microsoft.com/office/drawing/2015/06/chart">
            <c:ext xmlns:c16="http://schemas.microsoft.com/office/drawing/2014/chart" uri="{C3380CC4-5D6E-409C-BE32-E72D297353CC}">
              <c16:uniqueId val="{00000002-B472-4A6C-89B2-591689EDC473}"/>
            </c:ext>
          </c:extLst>
        </c:ser>
        <c:dLbls>
          <c:showLegendKey val="0"/>
          <c:showVal val="0"/>
          <c:showCatName val="0"/>
          <c:showSerName val="0"/>
          <c:showPercent val="0"/>
          <c:showBubbleSize val="0"/>
        </c:dLbls>
        <c:marker val="1"/>
        <c:smooth val="0"/>
        <c:axId val="40704000"/>
        <c:axId val="225333760"/>
      </c:lineChart>
      <c:dateAx>
        <c:axId val="40704000"/>
        <c:scaling>
          <c:orientation val="minMax"/>
        </c:scaling>
        <c:delete val="0"/>
        <c:axPos val="b"/>
        <c:numFmt formatCode="[$-419]mmm\-yy;@" sourceLinked="0"/>
        <c:majorTickMark val="out"/>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entury" panose="02040604050505020304" pitchFamily="18" charset="0"/>
                <a:ea typeface="+mn-ea"/>
                <a:cs typeface="+mn-cs"/>
              </a:defRPr>
            </a:pPr>
            <a:endParaRPr lang="ru-RU"/>
          </a:p>
        </c:txPr>
        <c:crossAx val="225333760"/>
        <c:crosses val="autoZero"/>
        <c:auto val="1"/>
        <c:lblOffset val="100"/>
        <c:baseTimeUnit val="months"/>
        <c:majorUnit val="3"/>
        <c:majorTimeUnit val="months"/>
      </c:dateAx>
      <c:valAx>
        <c:axId val="225333760"/>
        <c:scaling>
          <c:orientation val="minMax"/>
        </c:scaling>
        <c:delete val="0"/>
        <c:axPos val="l"/>
        <c:title>
          <c:tx>
            <c:rich>
              <a:bodyPr rot="-5400000" spcFirstLastPara="1" vertOverflow="ellipsis" vert="horz" wrap="square" anchor="ctr" anchorCtr="1"/>
              <a:lstStyle/>
              <a:p>
                <a:pPr>
                  <a:defRPr sz="1000" b="0" i="1" u="none" strike="noStrike" kern="1200" baseline="0">
                    <a:solidFill>
                      <a:sysClr val="windowText" lastClr="000000"/>
                    </a:solidFill>
                    <a:latin typeface="Century" panose="02040604050505020304" pitchFamily="18" charset="0"/>
                    <a:ea typeface="+mn-ea"/>
                    <a:cs typeface="+mn-cs"/>
                  </a:defRPr>
                </a:pPr>
                <a:r>
                  <a:rPr lang="ru-RU" i="1"/>
                  <a:t>оборот,</a:t>
                </a:r>
                <a:r>
                  <a:rPr lang="ru-RU" i="1" baseline="0"/>
                  <a:t> </a:t>
                </a:r>
                <a:r>
                  <a:rPr lang="ru-RU" i="1"/>
                  <a:t>трлн. рублей</a:t>
                </a:r>
              </a:p>
            </c:rich>
          </c:tx>
          <c:layout>
            <c:manualLayout>
              <c:xMode val="edge"/>
              <c:yMode val="edge"/>
              <c:x val="1.9147297616990292E-3"/>
              <c:y val="1.9988263508758024E-2"/>
            </c:manualLayout>
          </c:layout>
          <c:overlay val="0"/>
          <c:spPr>
            <a:noFill/>
            <a:ln>
              <a:noFill/>
            </a:ln>
            <a:effectLst/>
          </c:spPr>
        </c:title>
        <c:numFmt formatCode="#\,##0.0" sourceLinked="0"/>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entury" panose="02040604050505020304" pitchFamily="18" charset="0"/>
                <a:ea typeface="+mn-ea"/>
                <a:cs typeface="+mn-cs"/>
              </a:defRPr>
            </a:pPr>
            <a:endParaRPr lang="ru-RU"/>
          </a:p>
        </c:txPr>
        <c:crossAx val="40704000"/>
        <c:crosses val="autoZero"/>
        <c:crossBetween val="between"/>
        <c:dispUnits>
          <c:builtInUnit val="thousands"/>
        </c:dispUnits>
      </c:valAx>
      <c:spPr>
        <a:noFill/>
        <a:ln>
          <a:noFill/>
        </a:ln>
        <a:effectLst/>
      </c:spPr>
    </c:plotArea>
    <c:legend>
      <c:legendPos val="b"/>
      <c:layout>
        <c:manualLayout>
          <c:xMode val="edge"/>
          <c:yMode val="edge"/>
          <c:x val="0"/>
          <c:y val="0.88509710908710104"/>
          <c:w val="1"/>
          <c:h val="0.1149028909128990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entury" panose="02040604050505020304" pitchFamily="18" charset="0"/>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Century" panose="020406040505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085515473356547E-2"/>
          <c:y val="7.522499433954663E-2"/>
          <c:w val="0.79662973814319726"/>
          <c:h val="0.72479874926876742"/>
        </c:manualLayout>
      </c:layout>
      <c:barChart>
        <c:barDir val="col"/>
        <c:grouping val="clustered"/>
        <c:varyColors val="0"/>
        <c:ser>
          <c:idx val="0"/>
          <c:order val="0"/>
          <c:tx>
            <c:strRef>
              <c:f>Лист1!$B$1</c:f>
              <c:strCache>
                <c:ptCount val="1"/>
                <c:pt idx="0">
                  <c:v>дефицит дефицитных регионов</c:v>
                </c:pt>
              </c:strCache>
            </c:strRef>
          </c:tx>
          <c:spPr>
            <a:solidFill>
              <a:schemeClr val="bg2">
                <a:lumMod val="50000"/>
              </a:schemeClr>
            </a:solidFill>
          </c:spPr>
          <c:invertIfNegative val="0"/>
          <c:cat>
            <c:numRef>
              <c:f>Лист1!$A$2:$A$6</c:f>
              <c:numCache>
                <c:formatCode>General</c:formatCode>
                <c:ptCount val="5"/>
                <c:pt idx="0">
                  <c:v>2013</c:v>
                </c:pt>
                <c:pt idx="1">
                  <c:v>2014</c:v>
                </c:pt>
                <c:pt idx="2">
                  <c:v>2015</c:v>
                </c:pt>
                <c:pt idx="3">
                  <c:v>2016</c:v>
                </c:pt>
                <c:pt idx="4">
                  <c:v>2017</c:v>
                </c:pt>
              </c:numCache>
            </c:numRef>
          </c:cat>
          <c:val>
            <c:numRef>
              <c:f>Лист1!$B$2:$B$6</c:f>
              <c:numCache>
                <c:formatCode>0.0</c:formatCode>
                <c:ptCount val="5"/>
                <c:pt idx="0">
                  <c:v>-0.66862789135688006</c:v>
                </c:pt>
                <c:pt idx="1">
                  <c:v>-0.52355773942536998</c:v>
                </c:pt>
                <c:pt idx="2">
                  <c:v>-0.36860944281709002</c:v>
                </c:pt>
                <c:pt idx="3">
                  <c:v>-0.20141389060678999</c:v>
                </c:pt>
                <c:pt idx="4">
                  <c:v>-0.18861694617387001</c:v>
                </c:pt>
              </c:numCache>
            </c:numRef>
          </c:val>
          <c:extLst xmlns:c16r2="http://schemas.microsoft.com/office/drawing/2015/06/chart">
            <c:ext xmlns:c16="http://schemas.microsoft.com/office/drawing/2014/chart" uri="{C3380CC4-5D6E-409C-BE32-E72D297353CC}">
              <c16:uniqueId val="{00000000-5581-465D-86CF-4F410133760B}"/>
            </c:ext>
          </c:extLst>
        </c:ser>
        <c:ser>
          <c:idx val="1"/>
          <c:order val="1"/>
          <c:tx>
            <c:strRef>
              <c:f>Лист1!$C$1</c:f>
              <c:strCache>
                <c:ptCount val="1"/>
                <c:pt idx="0">
                  <c:v>дефицит</c:v>
                </c:pt>
              </c:strCache>
            </c:strRef>
          </c:tx>
          <c:spPr>
            <a:solidFill>
              <a:srgbClr val="006600"/>
            </a:solidFill>
          </c:spPr>
          <c:invertIfNegative val="0"/>
          <c:cat>
            <c:numRef>
              <c:f>Лист1!$A$2:$A$6</c:f>
              <c:numCache>
                <c:formatCode>General</c:formatCode>
                <c:ptCount val="5"/>
                <c:pt idx="0">
                  <c:v>2013</c:v>
                </c:pt>
                <c:pt idx="1">
                  <c:v>2014</c:v>
                </c:pt>
                <c:pt idx="2">
                  <c:v>2015</c:v>
                </c:pt>
                <c:pt idx="3">
                  <c:v>2016</c:v>
                </c:pt>
                <c:pt idx="4">
                  <c:v>2017</c:v>
                </c:pt>
              </c:numCache>
            </c:numRef>
          </c:cat>
          <c:val>
            <c:numRef>
              <c:f>Лист1!$C$2:$C$6</c:f>
              <c:numCache>
                <c:formatCode>0.000</c:formatCode>
                <c:ptCount val="5"/>
                <c:pt idx="0">
                  <c:v>-0.64199998818299997</c:v>
                </c:pt>
                <c:pt idx="1">
                  <c:v>-0.44778319378838</c:v>
                </c:pt>
                <c:pt idx="2">
                  <c:v>-0.17144773929598001</c:v>
                </c:pt>
                <c:pt idx="3">
                  <c:v>-1.2459060962830001E-2</c:v>
                </c:pt>
                <c:pt idx="4">
                  <c:v>-5.1953930363749998E-2</c:v>
                </c:pt>
              </c:numCache>
            </c:numRef>
          </c:val>
          <c:extLst xmlns:c16r2="http://schemas.microsoft.com/office/drawing/2015/06/chart">
            <c:ext xmlns:c16="http://schemas.microsoft.com/office/drawing/2014/chart" uri="{C3380CC4-5D6E-409C-BE32-E72D297353CC}">
              <c16:uniqueId val="{00000001-5581-465D-86CF-4F410133760B}"/>
            </c:ext>
          </c:extLst>
        </c:ser>
        <c:dLbls>
          <c:showLegendKey val="0"/>
          <c:showVal val="0"/>
          <c:showCatName val="0"/>
          <c:showSerName val="0"/>
          <c:showPercent val="0"/>
          <c:showBubbleSize val="0"/>
        </c:dLbls>
        <c:gapWidth val="30"/>
        <c:axId val="40705536"/>
        <c:axId val="225334912"/>
      </c:barChart>
      <c:lineChart>
        <c:grouping val="standard"/>
        <c:varyColors val="0"/>
        <c:ser>
          <c:idx val="2"/>
          <c:order val="2"/>
          <c:tx>
            <c:strRef>
              <c:f>Лист1!$D$1</c:f>
              <c:strCache>
                <c:ptCount val="1"/>
                <c:pt idx="0">
                  <c:v>дефицит к нал и ненал доходам (пр. шкала)</c:v>
                </c:pt>
              </c:strCache>
            </c:strRef>
          </c:tx>
          <c:spPr>
            <a:ln w="19050">
              <a:solidFill>
                <a:schemeClr val="tx1"/>
              </a:solidFill>
            </a:ln>
          </c:spPr>
          <c:marker>
            <c:symbol val="circle"/>
            <c:size val="5"/>
            <c:spPr>
              <a:solidFill>
                <a:schemeClr val="bg1"/>
              </a:solidFill>
              <a:ln>
                <a:solidFill>
                  <a:schemeClr val="tx1"/>
                </a:solidFill>
              </a:ln>
            </c:spPr>
          </c:marker>
          <c:cat>
            <c:numRef>
              <c:f>Лист1!$A$2:$A$6</c:f>
              <c:numCache>
                <c:formatCode>General</c:formatCode>
                <c:ptCount val="5"/>
                <c:pt idx="0">
                  <c:v>2013</c:v>
                </c:pt>
                <c:pt idx="1">
                  <c:v>2014</c:v>
                </c:pt>
                <c:pt idx="2">
                  <c:v>2015</c:v>
                </c:pt>
                <c:pt idx="3">
                  <c:v>2016</c:v>
                </c:pt>
                <c:pt idx="4">
                  <c:v>2017</c:v>
                </c:pt>
              </c:numCache>
            </c:numRef>
          </c:cat>
          <c:val>
            <c:numRef>
              <c:f>Лист1!$D$2:$D$6</c:f>
              <c:numCache>
                <c:formatCode>0.0%</c:formatCode>
                <c:ptCount val="5"/>
                <c:pt idx="0">
                  <c:v>-9.7000000000000003E-2</c:v>
                </c:pt>
                <c:pt idx="1">
                  <c:v>-6.2E-2</c:v>
                </c:pt>
                <c:pt idx="2">
                  <c:v>-2.1999999999999999E-2</c:v>
                </c:pt>
                <c:pt idx="3">
                  <c:v>-2E-3</c:v>
                </c:pt>
                <c:pt idx="4">
                  <c:v>-6.0000000000000001E-3</c:v>
                </c:pt>
              </c:numCache>
            </c:numRef>
          </c:val>
          <c:smooth val="0"/>
          <c:extLst xmlns:c16r2="http://schemas.microsoft.com/office/drawing/2015/06/chart">
            <c:ext xmlns:c16="http://schemas.microsoft.com/office/drawing/2014/chart" uri="{C3380CC4-5D6E-409C-BE32-E72D297353CC}">
              <c16:uniqueId val="{00000002-5581-465D-86CF-4F410133760B}"/>
            </c:ext>
          </c:extLst>
        </c:ser>
        <c:dLbls>
          <c:showLegendKey val="0"/>
          <c:showVal val="0"/>
          <c:showCatName val="0"/>
          <c:showSerName val="0"/>
          <c:showPercent val="0"/>
          <c:showBubbleSize val="0"/>
        </c:dLbls>
        <c:marker val="1"/>
        <c:smooth val="0"/>
        <c:axId val="40850432"/>
        <c:axId val="225364224"/>
      </c:lineChart>
      <c:catAx>
        <c:axId val="40705536"/>
        <c:scaling>
          <c:orientation val="minMax"/>
        </c:scaling>
        <c:delete val="0"/>
        <c:axPos val="b"/>
        <c:numFmt formatCode="General" sourceLinked="1"/>
        <c:majorTickMark val="out"/>
        <c:minorTickMark val="none"/>
        <c:tickLblPos val="low"/>
        <c:spPr>
          <a:ln w="3175">
            <a:solidFill>
              <a:sysClr val="windowText" lastClr="000000"/>
            </a:solidFill>
          </a:ln>
        </c:spPr>
        <c:txPr>
          <a:bodyPr/>
          <a:lstStyle/>
          <a:p>
            <a:pPr>
              <a:defRPr sz="800"/>
            </a:pPr>
            <a:endParaRPr lang="ru-RU"/>
          </a:p>
        </c:txPr>
        <c:crossAx val="225334912"/>
        <c:crosses val="autoZero"/>
        <c:auto val="1"/>
        <c:lblAlgn val="ctr"/>
        <c:lblOffset val="100"/>
        <c:noMultiLvlLbl val="0"/>
      </c:catAx>
      <c:valAx>
        <c:axId val="225334912"/>
        <c:scaling>
          <c:orientation val="minMax"/>
          <c:max val="0"/>
          <c:min val="-0.8"/>
        </c:scaling>
        <c:delete val="0"/>
        <c:axPos val="l"/>
        <c:majorGridlines>
          <c:spPr>
            <a:ln>
              <a:noFill/>
            </a:ln>
          </c:spPr>
        </c:majorGridlines>
        <c:numFmt formatCode="0.0" sourceLinked="0"/>
        <c:majorTickMark val="out"/>
        <c:minorTickMark val="none"/>
        <c:tickLblPos val="nextTo"/>
        <c:spPr>
          <a:ln w="3175">
            <a:solidFill>
              <a:sysClr val="windowText" lastClr="000000"/>
            </a:solidFill>
          </a:ln>
        </c:spPr>
        <c:txPr>
          <a:bodyPr/>
          <a:lstStyle/>
          <a:p>
            <a:pPr>
              <a:defRPr sz="800"/>
            </a:pPr>
            <a:endParaRPr lang="ru-RU"/>
          </a:p>
        </c:txPr>
        <c:crossAx val="40705536"/>
        <c:crosses val="autoZero"/>
        <c:crossBetween val="between"/>
      </c:valAx>
      <c:valAx>
        <c:axId val="225364224"/>
        <c:scaling>
          <c:orientation val="minMax"/>
        </c:scaling>
        <c:delete val="0"/>
        <c:axPos val="r"/>
        <c:numFmt formatCode="0%" sourceLinked="0"/>
        <c:majorTickMark val="out"/>
        <c:minorTickMark val="none"/>
        <c:tickLblPos val="nextTo"/>
        <c:txPr>
          <a:bodyPr/>
          <a:lstStyle/>
          <a:p>
            <a:pPr>
              <a:defRPr sz="800"/>
            </a:pPr>
            <a:endParaRPr lang="ru-RU"/>
          </a:p>
        </c:txPr>
        <c:crossAx val="40850432"/>
        <c:crosses val="max"/>
        <c:crossBetween val="between"/>
      </c:valAx>
      <c:catAx>
        <c:axId val="40850432"/>
        <c:scaling>
          <c:orientation val="minMax"/>
        </c:scaling>
        <c:delete val="1"/>
        <c:axPos val="b"/>
        <c:numFmt formatCode="General" sourceLinked="1"/>
        <c:majorTickMark val="out"/>
        <c:minorTickMark val="none"/>
        <c:tickLblPos val="nextTo"/>
        <c:crossAx val="225364224"/>
        <c:crosses val="autoZero"/>
        <c:auto val="1"/>
        <c:lblAlgn val="ctr"/>
        <c:lblOffset val="100"/>
        <c:noMultiLvlLbl val="0"/>
      </c:catAx>
    </c:plotArea>
    <c:legend>
      <c:legendPos val="b"/>
      <c:layout>
        <c:manualLayout>
          <c:xMode val="edge"/>
          <c:yMode val="edge"/>
          <c:x val="0.12694571316119466"/>
          <c:y val="0.88130029111252617"/>
          <c:w val="0.80250869804065195"/>
          <c:h val="0.11566361222391061"/>
        </c:manualLayout>
      </c:layout>
      <c:overlay val="0"/>
      <c:txPr>
        <a:bodyPr/>
        <a:lstStyle/>
        <a:p>
          <a:pPr>
            <a:defRPr sz="800"/>
          </a:pPr>
          <a:endParaRPr lang="ru-RU"/>
        </a:p>
      </c:txPr>
    </c:legend>
    <c:plotVisOnly val="1"/>
    <c:dispBlanksAs val="gap"/>
    <c:showDLblsOverMax val="0"/>
  </c:chart>
  <c:spPr>
    <a:ln>
      <a:noFill/>
    </a:ln>
  </c:spPr>
  <c:txPr>
    <a:bodyPr/>
    <a:lstStyle/>
    <a:p>
      <a:pPr>
        <a:defRPr sz="900">
          <a:latin typeface="Century"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79068792871477"/>
          <c:y val="4.1813939924176147E-2"/>
          <c:w val="0.78507186601674794"/>
          <c:h val="0.73865864709278706"/>
        </c:manualLayout>
      </c:layout>
      <c:barChart>
        <c:barDir val="col"/>
        <c:grouping val="clustered"/>
        <c:varyColors val="0"/>
        <c:ser>
          <c:idx val="0"/>
          <c:order val="0"/>
          <c:tx>
            <c:strRef>
              <c:f>Лист1!$B$1</c:f>
              <c:strCache>
                <c:ptCount val="1"/>
                <c:pt idx="0">
                  <c:v>государственный долг</c:v>
                </c:pt>
              </c:strCache>
            </c:strRef>
          </c:tx>
          <c:spPr>
            <a:solidFill>
              <a:schemeClr val="bg2">
                <a:lumMod val="50000"/>
              </a:schemeClr>
            </a:solidFill>
          </c:spPr>
          <c:invertIfNegative val="0"/>
          <c:cat>
            <c:numRef>
              <c:f>Лист1!$A$2:$A$6</c:f>
              <c:numCache>
                <c:formatCode>General</c:formatCode>
                <c:ptCount val="5"/>
                <c:pt idx="0">
                  <c:v>2013</c:v>
                </c:pt>
                <c:pt idx="1">
                  <c:v>2014</c:v>
                </c:pt>
                <c:pt idx="2">
                  <c:v>2015</c:v>
                </c:pt>
                <c:pt idx="3">
                  <c:v>2016</c:v>
                </c:pt>
                <c:pt idx="4">
                  <c:v>2017</c:v>
                </c:pt>
              </c:numCache>
            </c:numRef>
          </c:cat>
          <c:val>
            <c:numRef>
              <c:f>Лист1!$B$2:$B$6</c:f>
              <c:numCache>
                <c:formatCode>General</c:formatCode>
                <c:ptCount val="5"/>
                <c:pt idx="0">
                  <c:v>1.7374625013967899</c:v>
                </c:pt>
                <c:pt idx="1">
                  <c:v>2.0895108806095299</c:v>
                </c:pt>
                <c:pt idx="2">
                  <c:v>2.31859018892861</c:v>
                </c:pt>
                <c:pt idx="3">
                  <c:v>2.3531912143018898</c:v>
                </c:pt>
                <c:pt idx="4">
                  <c:v>2.3154044627533001</c:v>
                </c:pt>
              </c:numCache>
            </c:numRef>
          </c:val>
          <c:extLst xmlns:c16r2="http://schemas.microsoft.com/office/drawing/2015/06/chart">
            <c:ext xmlns:c16="http://schemas.microsoft.com/office/drawing/2014/chart" uri="{C3380CC4-5D6E-409C-BE32-E72D297353CC}">
              <c16:uniqueId val="{00000000-DC6F-4BB4-8B7A-3E55111DAE3E}"/>
            </c:ext>
          </c:extLst>
        </c:ser>
        <c:ser>
          <c:idx val="1"/>
          <c:order val="1"/>
          <c:tx>
            <c:strRef>
              <c:f>Лист1!$C$1</c:f>
              <c:strCache>
                <c:ptCount val="1"/>
                <c:pt idx="0">
                  <c:v>рыночный долг</c:v>
                </c:pt>
              </c:strCache>
            </c:strRef>
          </c:tx>
          <c:spPr>
            <a:solidFill>
              <a:srgbClr val="006600"/>
            </a:solidFill>
            <a:ln>
              <a:noFill/>
            </a:ln>
          </c:spPr>
          <c:invertIfNegative val="0"/>
          <c:cat>
            <c:numRef>
              <c:f>Лист1!$A$2:$A$6</c:f>
              <c:numCache>
                <c:formatCode>General</c:formatCode>
                <c:ptCount val="5"/>
                <c:pt idx="0">
                  <c:v>2013</c:v>
                </c:pt>
                <c:pt idx="1">
                  <c:v>2014</c:v>
                </c:pt>
                <c:pt idx="2">
                  <c:v>2015</c:v>
                </c:pt>
                <c:pt idx="3">
                  <c:v>2016</c:v>
                </c:pt>
                <c:pt idx="4">
                  <c:v>2017</c:v>
                </c:pt>
              </c:numCache>
            </c:numRef>
          </c:cat>
          <c:val>
            <c:numRef>
              <c:f>Лист1!$C$2:$C$6</c:f>
              <c:numCache>
                <c:formatCode>0.0</c:formatCode>
                <c:ptCount val="5"/>
                <c:pt idx="0">
                  <c:v>1.1421972945854999</c:v>
                </c:pt>
                <c:pt idx="1">
                  <c:v>1.33023008858837</c:v>
                </c:pt>
                <c:pt idx="2">
                  <c:v>1.39819474218448</c:v>
                </c:pt>
                <c:pt idx="3">
                  <c:v>1.26599946110012</c:v>
                </c:pt>
                <c:pt idx="4">
                  <c:v>1.21548047540606</c:v>
                </c:pt>
              </c:numCache>
            </c:numRef>
          </c:val>
          <c:extLst xmlns:c16r2="http://schemas.microsoft.com/office/drawing/2015/06/chart">
            <c:ext xmlns:c16="http://schemas.microsoft.com/office/drawing/2014/chart" uri="{C3380CC4-5D6E-409C-BE32-E72D297353CC}">
              <c16:uniqueId val="{00000001-DC6F-4BB4-8B7A-3E55111DAE3E}"/>
            </c:ext>
          </c:extLst>
        </c:ser>
        <c:dLbls>
          <c:showLegendKey val="0"/>
          <c:showVal val="0"/>
          <c:showCatName val="0"/>
          <c:showSerName val="0"/>
          <c:showPercent val="0"/>
          <c:showBubbleSize val="0"/>
        </c:dLbls>
        <c:gapWidth val="40"/>
        <c:axId val="40849408"/>
        <c:axId val="225364800"/>
      </c:barChart>
      <c:lineChart>
        <c:grouping val="standard"/>
        <c:varyColors val="0"/>
        <c:ser>
          <c:idx val="2"/>
          <c:order val="2"/>
          <c:tx>
            <c:strRef>
              <c:f>Лист1!$D$1</c:f>
              <c:strCache>
                <c:ptCount val="1"/>
                <c:pt idx="0">
                  <c:v>долговая нагрузка (пр. шкала)</c:v>
                </c:pt>
              </c:strCache>
            </c:strRef>
          </c:tx>
          <c:spPr>
            <a:ln w="19050">
              <a:solidFill>
                <a:schemeClr val="tx1"/>
              </a:solidFill>
            </a:ln>
          </c:spPr>
          <c:marker>
            <c:symbol val="circle"/>
            <c:size val="5"/>
            <c:spPr>
              <a:solidFill>
                <a:srgbClr val="FFFFFF"/>
              </a:solidFill>
              <a:ln>
                <a:solidFill>
                  <a:schemeClr val="tx1"/>
                </a:solidFill>
              </a:ln>
            </c:spPr>
          </c:marker>
          <c:cat>
            <c:numRef>
              <c:f>Лист1!$A$2:$A$6</c:f>
              <c:numCache>
                <c:formatCode>General</c:formatCode>
                <c:ptCount val="5"/>
                <c:pt idx="0">
                  <c:v>2013</c:v>
                </c:pt>
                <c:pt idx="1">
                  <c:v>2014</c:v>
                </c:pt>
                <c:pt idx="2">
                  <c:v>2015</c:v>
                </c:pt>
                <c:pt idx="3">
                  <c:v>2016</c:v>
                </c:pt>
                <c:pt idx="4">
                  <c:v>2017</c:v>
                </c:pt>
              </c:numCache>
            </c:numRef>
          </c:cat>
          <c:val>
            <c:numRef>
              <c:f>Лист1!$D$2:$D$6</c:f>
              <c:numCache>
                <c:formatCode>0.00%</c:formatCode>
                <c:ptCount val="5"/>
                <c:pt idx="0">
                  <c:v>0.32981213734597237</c:v>
                </c:pt>
                <c:pt idx="1">
                  <c:v>0.35390116852000242</c:v>
                </c:pt>
                <c:pt idx="2">
                  <c:v>0.36544786372950738</c:v>
                </c:pt>
                <c:pt idx="3">
                  <c:v>0.33828846276007085</c:v>
                </c:pt>
                <c:pt idx="4">
                  <c:v>0.30500167453750415</c:v>
                </c:pt>
              </c:numCache>
            </c:numRef>
          </c:val>
          <c:smooth val="0"/>
          <c:extLst xmlns:c16r2="http://schemas.microsoft.com/office/drawing/2015/06/chart">
            <c:ext xmlns:c16="http://schemas.microsoft.com/office/drawing/2014/chart" uri="{C3380CC4-5D6E-409C-BE32-E72D297353CC}">
              <c16:uniqueId val="{00000002-DC6F-4BB4-8B7A-3E55111DAE3E}"/>
            </c:ext>
          </c:extLst>
        </c:ser>
        <c:ser>
          <c:idx val="3"/>
          <c:order val="3"/>
          <c:tx>
            <c:strRef>
              <c:f>Лист1!$E$1</c:f>
              <c:strCache>
                <c:ptCount val="1"/>
                <c:pt idx="0">
                  <c:v>нагрузка по рыночному долгу (пр. шкала)</c:v>
                </c:pt>
              </c:strCache>
            </c:strRef>
          </c:tx>
          <c:spPr>
            <a:ln w="19050">
              <a:solidFill>
                <a:srgbClr val="FF0000"/>
              </a:solidFill>
            </a:ln>
          </c:spPr>
          <c:marker>
            <c:symbol val="circle"/>
            <c:size val="5"/>
            <c:spPr>
              <a:solidFill>
                <a:srgbClr val="FFFFFF"/>
              </a:solidFill>
              <a:ln>
                <a:solidFill>
                  <a:srgbClr val="FF0000"/>
                </a:solidFill>
              </a:ln>
            </c:spPr>
          </c:marker>
          <c:cat>
            <c:numRef>
              <c:f>Лист1!$A$2:$A$6</c:f>
              <c:numCache>
                <c:formatCode>General</c:formatCode>
                <c:ptCount val="5"/>
                <c:pt idx="0">
                  <c:v>2013</c:v>
                </c:pt>
                <c:pt idx="1">
                  <c:v>2014</c:v>
                </c:pt>
                <c:pt idx="2">
                  <c:v>2015</c:v>
                </c:pt>
                <c:pt idx="3">
                  <c:v>2016</c:v>
                </c:pt>
                <c:pt idx="4">
                  <c:v>2017</c:v>
                </c:pt>
              </c:numCache>
            </c:numRef>
          </c:cat>
          <c:val>
            <c:numRef>
              <c:f>Лист1!$E$2:$E$6</c:f>
              <c:numCache>
                <c:formatCode>0.00%</c:formatCode>
                <c:ptCount val="5"/>
                <c:pt idx="0">
                  <c:v>0.21681649572015735</c:v>
                </c:pt>
                <c:pt idx="1">
                  <c:v>0.22530152253361921</c:v>
                </c:pt>
                <c:pt idx="2">
                  <c:v>0.22037843688334541</c:v>
                </c:pt>
                <c:pt idx="3">
                  <c:v>0.18199668983452816</c:v>
                </c:pt>
                <c:pt idx="4">
                  <c:v>0.16011180177378345</c:v>
                </c:pt>
              </c:numCache>
            </c:numRef>
          </c:val>
          <c:smooth val="0"/>
          <c:extLst xmlns:c16r2="http://schemas.microsoft.com/office/drawing/2015/06/chart">
            <c:ext xmlns:c16="http://schemas.microsoft.com/office/drawing/2014/chart" uri="{C3380CC4-5D6E-409C-BE32-E72D297353CC}">
              <c16:uniqueId val="{00000003-DC6F-4BB4-8B7A-3E55111DAE3E}"/>
            </c:ext>
          </c:extLst>
        </c:ser>
        <c:dLbls>
          <c:showLegendKey val="0"/>
          <c:showVal val="0"/>
          <c:showCatName val="0"/>
          <c:showSerName val="0"/>
          <c:showPercent val="0"/>
          <c:showBubbleSize val="0"/>
        </c:dLbls>
        <c:marker val="1"/>
        <c:smooth val="0"/>
        <c:axId val="40851456"/>
        <c:axId val="225346112"/>
      </c:lineChart>
      <c:catAx>
        <c:axId val="40849408"/>
        <c:scaling>
          <c:orientation val="minMax"/>
        </c:scaling>
        <c:delete val="0"/>
        <c:axPos val="b"/>
        <c:numFmt formatCode="General" sourceLinked="0"/>
        <c:majorTickMark val="out"/>
        <c:minorTickMark val="none"/>
        <c:tickLblPos val="low"/>
        <c:spPr>
          <a:ln w="3175">
            <a:solidFill>
              <a:sysClr val="windowText" lastClr="000000"/>
            </a:solidFill>
          </a:ln>
        </c:spPr>
        <c:txPr>
          <a:bodyPr/>
          <a:lstStyle/>
          <a:p>
            <a:pPr>
              <a:defRPr sz="800"/>
            </a:pPr>
            <a:endParaRPr lang="ru-RU"/>
          </a:p>
        </c:txPr>
        <c:crossAx val="225364800"/>
        <c:crosses val="autoZero"/>
        <c:auto val="1"/>
        <c:lblAlgn val="ctr"/>
        <c:lblOffset val="100"/>
        <c:noMultiLvlLbl val="0"/>
      </c:catAx>
      <c:valAx>
        <c:axId val="225364800"/>
        <c:scaling>
          <c:orientation val="minMax"/>
          <c:max val="2.5"/>
          <c:min val="0"/>
        </c:scaling>
        <c:delete val="0"/>
        <c:axPos val="l"/>
        <c:majorGridlines>
          <c:spPr>
            <a:ln>
              <a:noFill/>
            </a:ln>
          </c:spPr>
        </c:majorGridlines>
        <c:numFmt formatCode="#\,##0.0" sourceLinked="0"/>
        <c:majorTickMark val="out"/>
        <c:minorTickMark val="none"/>
        <c:tickLblPos val="nextTo"/>
        <c:spPr>
          <a:ln w="3175">
            <a:solidFill>
              <a:sysClr val="windowText" lastClr="000000"/>
            </a:solidFill>
          </a:ln>
        </c:spPr>
        <c:txPr>
          <a:bodyPr/>
          <a:lstStyle/>
          <a:p>
            <a:pPr>
              <a:defRPr sz="800"/>
            </a:pPr>
            <a:endParaRPr lang="ru-RU"/>
          </a:p>
        </c:txPr>
        <c:crossAx val="40849408"/>
        <c:crosses val="autoZero"/>
        <c:crossBetween val="between"/>
      </c:valAx>
      <c:valAx>
        <c:axId val="225346112"/>
        <c:scaling>
          <c:orientation val="minMax"/>
          <c:max val="0.4"/>
          <c:min val="5.000000000000001E-2"/>
        </c:scaling>
        <c:delete val="0"/>
        <c:axPos val="r"/>
        <c:numFmt formatCode="0%" sourceLinked="0"/>
        <c:majorTickMark val="out"/>
        <c:minorTickMark val="none"/>
        <c:tickLblPos val="nextTo"/>
        <c:txPr>
          <a:bodyPr/>
          <a:lstStyle/>
          <a:p>
            <a:pPr>
              <a:defRPr sz="800"/>
            </a:pPr>
            <a:endParaRPr lang="ru-RU"/>
          </a:p>
        </c:txPr>
        <c:crossAx val="40851456"/>
        <c:crosses val="max"/>
        <c:crossBetween val="between"/>
      </c:valAx>
      <c:catAx>
        <c:axId val="40851456"/>
        <c:scaling>
          <c:orientation val="minMax"/>
        </c:scaling>
        <c:delete val="1"/>
        <c:axPos val="b"/>
        <c:numFmt formatCode="General" sourceLinked="1"/>
        <c:majorTickMark val="out"/>
        <c:minorTickMark val="none"/>
        <c:tickLblPos val="nextTo"/>
        <c:crossAx val="225346112"/>
        <c:crosses val="autoZero"/>
        <c:auto val="1"/>
        <c:lblAlgn val="ctr"/>
        <c:lblOffset val="100"/>
        <c:noMultiLvlLbl val="0"/>
      </c:catAx>
    </c:plotArea>
    <c:legend>
      <c:legendPos val="b"/>
      <c:layout>
        <c:manualLayout>
          <c:xMode val="edge"/>
          <c:yMode val="edge"/>
          <c:x val="2.326333409845428E-2"/>
          <c:y val="0.85045945737396378"/>
          <c:w val="0.96812983915665007"/>
          <c:h val="0.14954069621737393"/>
        </c:manualLayout>
      </c:layout>
      <c:overlay val="0"/>
      <c:txPr>
        <a:bodyPr/>
        <a:lstStyle/>
        <a:p>
          <a:pPr>
            <a:defRPr sz="800"/>
          </a:pPr>
          <a:endParaRPr lang="ru-RU"/>
        </a:p>
      </c:txPr>
    </c:legend>
    <c:plotVisOnly val="1"/>
    <c:dispBlanksAs val="gap"/>
    <c:showDLblsOverMax val="0"/>
  </c:chart>
  <c:spPr>
    <a:ln>
      <a:noFill/>
    </a:ln>
  </c:spPr>
  <c:txPr>
    <a:bodyPr/>
    <a:lstStyle/>
    <a:p>
      <a:pPr>
        <a:defRPr sz="900">
          <a:latin typeface="Century" pitchFamily="18" charset="0"/>
        </a:defRPr>
      </a:pPr>
      <a:endParaRPr lang="ru-RU"/>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291776027996501E-2"/>
          <c:y val="5.1400554097404488E-2"/>
          <c:w val="0.85582874015748034"/>
          <c:h val="0.76592957130358708"/>
        </c:manualLayout>
      </c:layout>
      <c:lineChart>
        <c:grouping val="standard"/>
        <c:varyColors val="0"/>
        <c:ser>
          <c:idx val="1"/>
          <c:order val="0"/>
          <c:tx>
            <c:strRef>
              <c:f>Лист1!$C$1</c:f>
              <c:strCache>
                <c:ptCount val="1"/>
                <c:pt idx="0">
                  <c:v>США</c:v>
                </c:pt>
              </c:strCache>
            </c:strRef>
          </c:tx>
          <c:spPr>
            <a:ln w="12700">
              <a:solidFill>
                <a:srgbClr val="005000"/>
              </a:solidFill>
            </a:ln>
          </c:spPr>
          <c:marker>
            <c:symbol val="none"/>
          </c:marker>
          <c:cat>
            <c:numRef>
              <c:f>Лист1!$B$20:$B$193</c:f>
              <c:numCache>
                <c:formatCode>m/d/yyyy</c:formatCode>
                <c:ptCount val="174"/>
                <c:pt idx="0">
                  <c:v>39113</c:v>
                </c:pt>
                <c:pt idx="1">
                  <c:v>39141</c:v>
                </c:pt>
                <c:pt idx="2">
                  <c:v>39172</c:v>
                </c:pt>
                <c:pt idx="3">
                  <c:v>39202</c:v>
                </c:pt>
                <c:pt idx="4">
                  <c:v>39233</c:v>
                </c:pt>
                <c:pt idx="5">
                  <c:v>39263</c:v>
                </c:pt>
                <c:pt idx="6">
                  <c:v>39294</c:v>
                </c:pt>
                <c:pt idx="7">
                  <c:v>39325</c:v>
                </c:pt>
                <c:pt idx="8">
                  <c:v>39355</c:v>
                </c:pt>
                <c:pt idx="9">
                  <c:v>39386</c:v>
                </c:pt>
                <c:pt idx="10">
                  <c:v>39416</c:v>
                </c:pt>
                <c:pt idx="11">
                  <c:v>39447</c:v>
                </c:pt>
                <c:pt idx="12">
                  <c:v>39478</c:v>
                </c:pt>
                <c:pt idx="13">
                  <c:v>39507</c:v>
                </c:pt>
                <c:pt idx="14">
                  <c:v>39538</c:v>
                </c:pt>
                <c:pt idx="15">
                  <c:v>39568</c:v>
                </c:pt>
                <c:pt idx="16">
                  <c:v>39599</c:v>
                </c:pt>
                <c:pt idx="17">
                  <c:v>39629</c:v>
                </c:pt>
                <c:pt idx="18">
                  <c:v>39660</c:v>
                </c:pt>
                <c:pt idx="19">
                  <c:v>39691</c:v>
                </c:pt>
                <c:pt idx="20">
                  <c:v>39721</c:v>
                </c:pt>
                <c:pt idx="21">
                  <c:v>39752</c:v>
                </c:pt>
                <c:pt idx="22">
                  <c:v>39782</c:v>
                </c:pt>
                <c:pt idx="23">
                  <c:v>39813</c:v>
                </c:pt>
                <c:pt idx="24">
                  <c:v>39844</c:v>
                </c:pt>
                <c:pt idx="25">
                  <c:v>39872</c:v>
                </c:pt>
                <c:pt idx="26">
                  <c:v>39903</c:v>
                </c:pt>
                <c:pt idx="27">
                  <c:v>39933</c:v>
                </c:pt>
                <c:pt idx="28">
                  <c:v>39964</c:v>
                </c:pt>
                <c:pt idx="29">
                  <c:v>39994</c:v>
                </c:pt>
                <c:pt idx="30">
                  <c:v>40025</c:v>
                </c:pt>
                <c:pt idx="31">
                  <c:v>40056</c:v>
                </c:pt>
                <c:pt idx="32">
                  <c:v>40086</c:v>
                </c:pt>
                <c:pt idx="33">
                  <c:v>40117</c:v>
                </c:pt>
                <c:pt idx="34">
                  <c:v>40147</c:v>
                </c:pt>
                <c:pt idx="35">
                  <c:v>40178</c:v>
                </c:pt>
                <c:pt idx="36">
                  <c:v>40209</c:v>
                </c:pt>
                <c:pt idx="37">
                  <c:v>40237</c:v>
                </c:pt>
                <c:pt idx="38">
                  <c:v>40268</c:v>
                </c:pt>
                <c:pt idx="39">
                  <c:v>40298</c:v>
                </c:pt>
                <c:pt idx="40">
                  <c:v>40329</c:v>
                </c:pt>
                <c:pt idx="41">
                  <c:v>40359</c:v>
                </c:pt>
                <c:pt idx="42">
                  <c:v>40390</c:v>
                </c:pt>
                <c:pt idx="43">
                  <c:v>40421</c:v>
                </c:pt>
                <c:pt idx="44">
                  <c:v>40451</c:v>
                </c:pt>
                <c:pt idx="45">
                  <c:v>40482</c:v>
                </c:pt>
                <c:pt idx="46">
                  <c:v>40512</c:v>
                </c:pt>
                <c:pt idx="47">
                  <c:v>40543</c:v>
                </c:pt>
                <c:pt idx="48">
                  <c:v>40574</c:v>
                </c:pt>
                <c:pt idx="49">
                  <c:v>40602</c:v>
                </c:pt>
                <c:pt idx="50">
                  <c:v>40633</c:v>
                </c:pt>
                <c:pt idx="51">
                  <c:v>40663</c:v>
                </c:pt>
                <c:pt idx="52">
                  <c:v>40694</c:v>
                </c:pt>
                <c:pt idx="53">
                  <c:v>40724</c:v>
                </c:pt>
                <c:pt idx="54">
                  <c:v>40755</c:v>
                </c:pt>
                <c:pt idx="55">
                  <c:v>40786</c:v>
                </c:pt>
                <c:pt idx="56">
                  <c:v>40816</c:v>
                </c:pt>
                <c:pt idx="57">
                  <c:v>40847</c:v>
                </c:pt>
                <c:pt idx="58">
                  <c:v>40877</c:v>
                </c:pt>
                <c:pt idx="59">
                  <c:v>40908</c:v>
                </c:pt>
                <c:pt idx="60">
                  <c:v>40939</c:v>
                </c:pt>
                <c:pt idx="61">
                  <c:v>40968</c:v>
                </c:pt>
                <c:pt idx="62">
                  <c:v>40999</c:v>
                </c:pt>
                <c:pt idx="63">
                  <c:v>41029</c:v>
                </c:pt>
                <c:pt idx="64">
                  <c:v>41060</c:v>
                </c:pt>
                <c:pt idx="65">
                  <c:v>41090</c:v>
                </c:pt>
                <c:pt idx="66">
                  <c:v>41121</c:v>
                </c:pt>
                <c:pt idx="67">
                  <c:v>41152</c:v>
                </c:pt>
                <c:pt idx="68">
                  <c:v>41182</c:v>
                </c:pt>
                <c:pt idx="69">
                  <c:v>41213</c:v>
                </c:pt>
                <c:pt idx="70">
                  <c:v>41243</c:v>
                </c:pt>
                <c:pt idx="71">
                  <c:v>41274</c:v>
                </c:pt>
                <c:pt idx="72">
                  <c:v>41305</c:v>
                </c:pt>
                <c:pt idx="73">
                  <c:v>41333</c:v>
                </c:pt>
                <c:pt idx="74">
                  <c:v>41364</c:v>
                </c:pt>
                <c:pt idx="75">
                  <c:v>41394</c:v>
                </c:pt>
                <c:pt idx="76">
                  <c:v>41425</c:v>
                </c:pt>
                <c:pt idx="77">
                  <c:v>41455</c:v>
                </c:pt>
                <c:pt idx="78">
                  <c:v>41486</c:v>
                </c:pt>
                <c:pt idx="79">
                  <c:v>41517</c:v>
                </c:pt>
                <c:pt idx="80">
                  <c:v>41547</c:v>
                </c:pt>
                <c:pt idx="81">
                  <c:v>41578</c:v>
                </c:pt>
                <c:pt idx="82">
                  <c:v>41608</c:v>
                </c:pt>
                <c:pt idx="83">
                  <c:v>41639</c:v>
                </c:pt>
                <c:pt idx="84">
                  <c:v>41670</c:v>
                </c:pt>
                <c:pt idx="85">
                  <c:v>41698</c:v>
                </c:pt>
                <c:pt idx="86">
                  <c:v>41729</c:v>
                </c:pt>
                <c:pt idx="87">
                  <c:v>41759</c:v>
                </c:pt>
                <c:pt idx="88">
                  <c:v>41790</c:v>
                </c:pt>
                <c:pt idx="89">
                  <c:v>41820</c:v>
                </c:pt>
                <c:pt idx="90">
                  <c:v>41851</c:v>
                </c:pt>
                <c:pt idx="91">
                  <c:v>41882</c:v>
                </c:pt>
                <c:pt idx="92">
                  <c:v>41912</c:v>
                </c:pt>
                <c:pt idx="93">
                  <c:v>41943</c:v>
                </c:pt>
                <c:pt idx="94">
                  <c:v>41973</c:v>
                </c:pt>
                <c:pt idx="95">
                  <c:v>42004</c:v>
                </c:pt>
                <c:pt idx="96">
                  <c:v>42035</c:v>
                </c:pt>
                <c:pt idx="97">
                  <c:v>42063</c:v>
                </c:pt>
                <c:pt idx="98">
                  <c:v>42094</c:v>
                </c:pt>
                <c:pt idx="99">
                  <c:v>42124</c:v>
                </c:pt>
                <c:pt idx="100">
                  <c:v>42155</c:v>
                </c:pt>
                <c:pt idx="101">
                  <c:v>42185</c:v>
                </c:pt>
                <c:pt idx="102">
                  <c:v>42216</c:v>
                </c:pt>
                <c:pt idx="103">
                  <c:v>42247</c:v>
                </c:pt>
                <c:pt idx="104">
                  <c:v>42277</c:v>
                </c:pt>
                <c:pt idx="105">
                  <c:v>42308</c:v>
                </c:pt>
                <c:pt idx="106">
                  <c:v>42338</c:v>
                </c:pt>
                <c:pt idx="107">
                  <c:v>42369</c:v>
                </c:pt>
                <c:pt idx="108">
                  <c:v>42400</c:v>
                </c:pt>
                <c:pt idx="109">
                  <c:v>42429</c:v>
                </c:pt>
                <c:pt idx="110">
                  <c:v>42460</c:v>
                </c:pt>
                <c:pt idx="111">
                  <c:v>42490</c:v>
                </c:pt>
                <c:pt idx="112">
                  <c:v>42521</c:v>
                </c:pt>
                <c:pt idx="113">
                  <c:v>42551</c:v>
                </c:pt>
                <c:pt idx="114">
                  <c:v>42582</c:v>
                </c:pt>
                <c:pt idx="115">
                  <c:v>42613</c:v>
                </c:pt>
                <c:pt idx="116">
                  <c:v>42643</c:v>
                </c:pt>
                <c:pt idx="117">
                  <c:v>42674</c:v>
                </c:pt>
                <c:pt idx="118">
                  <c:v>42704</c:v>
                </c:pt>
                <c:pt idx="119">
                  <c:v>42735</c:v>
                </c:pt>
                <c:pt idx="120">
                  <c:v>42766</c:v>
                </c:pt>
                <c:pt idx="121">
                  <c:v>42794</c:v>
                </c:pt>
                <c:pt idx="122">
                  <c:v>42825</c:v>
                </c:pt>
                <c:pt idx="123">
                  <c:v>42855</c:v>
                </c:pt>
                <c:pt idx="124">
                  <c:v>42886</c:v>
                </c:pt>
                <c:pt idx="125">
                  <c:v>42916</c:v>
                </c:pt>
                <c:pt idx="126">
                  <c:v>42947</c:v>
                </c:pt>
                <c:pt idx="127">
                  <c:v>42978</c:v>
                </c:pt>
                <c:pt idx="128">
                  <c:v>43008</c:v>
                </c:pt>
                <c:pt idx="129">
                  <c:v>43039</c:v>
                </c:pt>
                <c:pt idx="130">
                  <c:v>43069</c:v>
                </c:pt>
                <c:pt idx="131">
                  <c:v>43100</c:v>
                </c:pt>
                <c:pt idx="132">
                  <c:v>43131</c:v>
                </c:pt>
                <c:pt idx="133">
                  <c:v>43159</c:v>
                </c:pt>
                <c:pt idx="134">
                  <c:v>43190</c:v>
                </c:pt>
                <c:pt idx="135">
                  <c:v>43220</c:v>
                </c:pt>
                <c:pt idx="136">
                  <c:v>43251</c:v>
                </c:pt>
                <c:pt idx="137">
                  <c:v>43281</c:v>
                </c:pt>
              </c:numCache>
            </c:numRef>
          </c:cat>
          <c:val>
            <c:numRef>
              <c:f>Лист1!$C$20:$C$193</c:f>
              <c:numCache>
                <c:formatCode>General</c:formatCode>
                <c:ptCount val="174"/>
                <c:pt idx="0">
                  <c:v>6.1</c:v>
                </c:pt>
                <c:pt idx="1">
                  <c:v>6.1</c:v>
                </c:pt>
                <c:pt idx="2">
                  <c:v>6.1</c:v>
                </c:pt>
                <c:pt idx="3">
                  <c:v>6</c:v>
                </c:pt>
                <c:pt idx="4">
                  <c:v>6.1</c:v>
                </c:pt>
                <c:pt idx="5">
                  <c:v>6</c:v>
                </c:pt>
                <c:pt idx="6">
                  <c:v>6</c:v>
                </c:pt>
                <c:pt idx="7">
                  <c:v>6</c:v>
                </c:pt>
                <c:pt idx="8">
                  <c:v>6</c:v>
                </c:pt>
                <c:pt idx="9">
                  <c:v>6</c:v>
                </c:pt>
                <c:pt idx="10">
                  <c:v>6</c:v>
                </c:pt>
                <c:pt idx="11">
                  <c:v>6</c:v>
                </c:pt>
                <c:pt idx="12">
                  <c:v>6</c:v>
                </c:pt>
                <c:pt idx="13">
                  <c:v>6</c:v>
                </c:pt>
                <c:pt idx="14">
                  <c:v>6</c:v>
                </c:pt>
                <c:pt idx="15">
                  <c:v>5.9</c:v>
                </c:pt>
                <c:pt idx="16">
                  <c:v>6</c:v>
                </c:pt>
                <c:pt idx="17">
                  <c:v>6</c:v>
                </c:pt>
                <c:pt idx="18">
                  <c:v>6.1</c:v>
                </c:pt>
                <c:pt idx="19">
                  <c:v>6</c:v>
                </c:pt>
                <c:pt idx="20">
                  <c:v>7.7</c:v>
                </c:pt>
                <c:pt idx="21">
                  <c:v>12.7</c:v>
                </c:pt>
                <c:pt idx="22">
                  <c:v>14.2</c:v>
                </c:pt>
                <c:pt idx="23">
                  <c:v>15.1</c:v>
                </c:pt>
                <c:pt idx="24">
                  <c:v>13.5</c:v>
                </c:pt>
                <c:pt idx="25">
                  <c:v>13</c:v>
                </c:pt>
                <c:pt idx="26">
                  <c:v>14</c:v>
                </c:pt>
                <c:pt idx="27">
                  <c:v>14.3</c:v>
                </c:pt>
                <c:pt idx="28">
                  <c:v>14.2</c:v>
                </c:pt>
                <c:pt idx="29">
                  <c:v>13.7</c:v>
                </c:pt>
                <c:pt idx="30">
                  <c:v>13.9</c:v>
                </c:pt>
                <c:pt idx="31">
                  <c:v>14.2</c:v>
                </c:pt>
                <c:pt idx="32">
                  <c:v>14.7</c:v>
                </c:pt>
                <c:pt idx="33">
                  <c:v>14.9</c:v>
                </c:pt>
                <c:pt idx="34">
                  <c:v>15.2</c:v>
                </c:pt>
                <c:pt idx="35">
                  <c:v>15.4</c:v>
                </c:pt>
                <c:pt idx="36">
                  <c:v>15.5</c:v>
                </c:pt>
                <c:pt idx="37">
                  <c:v>15.7</c:v>
                </c:pt>
                <c:pt idx="38">
                  <c:v>15.8</c:v>
                </c:pt>
                <c:pt idx="39">
                  <c:v>15.9</c:v>
                </c:pt>
                <c:pt idx="40">
                  <c:v>15.9</c:v>
                </c:pt>
                <c:pt idx="41">
                  <c:v>15.8</c:v>
                </c:pt>
                <c:pt idx="42">
                  <c:v>15.7</c:v>
                </c:pt>
                <c:pt idx="43">
                  <c:v>15.6</c:v>
                </c:pt>
                <c:pt idx="44">
                  <c:v>15.5</c:v>
                </c:pt>
                <c:pt idx="45">
                  <c:v>15.4</c:v>
                </c:pt>
                <c:pt idx="46">
                  <c:v>15.5</c:v>
                </c:pt>
                <c:pt idx="47">
                  <c:v>16.100000000000001</c:v>
                </c:pt>
                <c:pt idx="48">
                  <c:v>16.100000000000001</c:v>
                </c:pt>
                <c:pt idx="49">
                  <c:v>16.600000000000001</c:v>
                </c:pt>
                <c:pt idx="50">
                  <c:v>17.2</c:v>
                </c:pt>
                <c:pt idx="51">
                  <c:v>17.600000000000001</c:v>
                </c:pt>
                <c:pt idx="52">
                  <c:v>18.100000000000001</c:v>
                </c:pt>
                <c:pt idx="53">
                  <c:v>18.600000000000001</c:v>
                </c:pt>
                <c:pt idx="54">
                  <c:v>18.7</c:v>
                </c:pt>
                <c:pt idx="55">
                  <c:v>18.5</c:v>
                </c:pt>
                <c:pt idx="56">
                  <c:v>18.5</c:v>
                </c:pt>
                <c:pt idx="57">
                  <c:v>18.399999999999999</c:v>
                </c:pt>
                <c:pt idx="58">
                  <c:v>18.100000000000001</c:v>
                </c:pt>
                <c:pt idx="59">
                  <c:v>18.8</c:v>
                </c:pt>
                <c:pt idx="60">
                  <c:v>18.600000000000001</c:v>
                </c:pt>
                <c:pt idx="61">
                  <c:v>18.600000000000001</c:v>
                </c:pt>
                <c:pt idx="62">
                  <c:v>18.3</c:v>
                </c:pt>
                <c:pt idx="63">
                  <c:v>18.2</c:v>
                </c:pt>
                <c:pt idx="64">
                  <c:v>17.899999999999999</c:v>
                </c:pt>
                <c:pt idx="65">
                  <c:v>18</c:v>
                </c:pt>
                <c:pt idx="66">
                  <c:v>17.8</c:v>
                </c:pt>
                <c:pt idx="67">
                  <c:v>17.600000000000001</c:v>
                </c:pt>
                <c:pt idx="68">
                  <c:v>17.399999999999999</c:v>
                </c:pt>
                <c:pt idx="69">
                  <c:v>17.5</c:v>
                </c:pt>
                <c:pt idx="70">
                  <c:v>17.600000000000001</c:v>
                </c:pt>
                <c:pt idx="71">
                  <c:v>18</c:v>
                </c:pt>
                <c:pt idx="72">
                  <c:v>18.5</c:v>
                </c:pt>
                <c:pt idx="73">
                  <c:v>19</c:v>
                </c:pt>
                <c:pt idx="74">
                  <c:v>19.600000000000001</c:v>
                </c:pt>
                <c:pt idx="75">
                  <c:v>19.600000000000001</c:v>
                </c:pt>
                <c:pt idx="76">
                  <c:v>20.399999999999999</c:v>
                </c:pt>
                <c:pt idx="77">
                  <c:v>21</c:v>
                </c:pt>
                <c:pt idx="78">
                  <c:v>21.5</c:v>
                </c:pt>
                <c:pt idx="79">
                  <c:v>21.9</c:v>
                </c:pt>
                <c:pt idx="80">
                  <c:v>22.3</c:v>
                </c:pt>
                <c:pt idx="81">
                  <c:v>22.9</c:v>
                </c:pt>
                <c:pt idx="82">
                  <c:v>23.3</c:v>
                </c:pt>
                <c:pt idx="83">
                  <c:v>23.9</c:v>
                </c:pt>
                <c:pt idx="84">
                  <c:v>24.3</c:v>
                </c:pt>
                <c:pt idx="85">
                  <c:v>24.5</c:v>
                </c:pt>
                <c:pt idx="86">
                  <c:v>24.9</c:v>
                </c:pt>
                <c:pt idx="87">
                  <c:v>25.2</c:v>
                </c:pt>
                <c:pt idx="88">
                  <c:v>25.2</c:v>
                </c:pt>
                <c:pt idx="89">
                  <c:v>25.4</c:v>
                </c:pt>
                <c:pt idx="90">
                  <c:v>25.5</c:v>
                </c:pt>
                <c:pt idx="91">
                  <c:v>25.5</c:v>
                </c:pt>
                <c:pt idx="92">
                  <c:v>25.6</c:v>
                </c:pt>
                <c:pt idx="93">
                  <c:v>25.7</c:v>
                </c:pt>
                <c:pt idx="94">
                  <c:v>25.6</c:v>
                </c:pt>
                <c:pt idx="95">
                  <c:v>25.6</c:v>
                </c:pt>
                <c:pt idx="96">
                  <c:v>25.5</c:v>
                </c:pt>
                <c:pt idx="97">
                  <c:v>25.3</c:v>
                </c:pt>
                <c:pt idx="98">
                  <c:v>25.2</c:v>
                </c:pt>
                <c:pt idx="99">
                  <c:v>25</c:v>
                </c:pt>
                <c:pt idx="100">
                  <c:v>24.9</c:v>
                </c:pt>
                <c:pt idx="101">
                  <c:v>25</c:v>
                </c:pt>
                <c:pt idx="102">
                  <c:v>24.9</c:v>
                </c:pt>
                <c:pt idx="103">
                  <c:v>24.7</c:v>
                </c:pt>
                <c:pt idx="104">
                  <c:v>24.7</c:v>
                </c:pt>
                <c:pt idx="105">
                  <c:v>24.7</c:v>
                </c:pt>
                <c:pt idx="106">
                  <c:v>24.6</c:v>
                </c:pt>
                <c:pt idx="107">
                  <c:v>24.5</c:v>
                </c:pt>
                <c:pt idx="108">
                  <c:v>24.5</c:v>
                </c:pt>
                <c:pt idx="109">
                  <c:v>24.5</c:v>
                </c:pt>
                <c:pt idx="110">
                  <c:v>24.4</c:v>
                </c:pt>
                <c:pt idx="111">
                  <c:v>24.3</c:v>
                </c:pt>
                <c:pt idx="112">
                  <c:v>24.2</c:v>
                </c:pt>
                <c:pt idx="113">
                  <c:v>24.1</c:v>
                </c:pt>
                <c:pt idx="114">
                  <c:v>24.1</c:v>
                </c:pt>
                <c:pt idx="115">
                  <c:v>24</c:v>
                </c:pt>
                <c:pt idx="116">
                  <c:v>23.9</c:v>
                </c:pt>
                <c:pt idx="117">
                  <c:v>23.8</c:v>
                </c:pt>
                <c:pt idx="118">
                  <c:v>23.7</c:v>
                </c:pt>
                <c:pt idx="119">
                  <c:v>23.7</c:v>
                </c:pt>
                <c:pt idx="120">
                  <c:v>23.6</c:v>
                </c:pt>
                <c:pt idx="121">
                  <c:v>23.6</c:v>
                </c:pt>
                <c:pt idx="122">
                  <c:v>23.6</c:v>
                </c:pt>
                <c:pt idx="123">
                  <c:v>23.5</c:v>
                </c:pt>
                <c:pt idx="124">
                  <c:v>23.4</c:v>
                </c:pt>
                <c:pt idx="125">
                  <c:v>23.3</c:v>
                </c:pt>
                <c:pt idx="126">
                  <c:v>23.2</c:v>
                </c:pt>
                <c:pt idx="127">
                  <c:v>23.1</c:v>
                </c:pt>
                <c:pt idx="128">
                  <c:v>23</c:v>
                </c:pt>
                <c:pt idx="129">
                  <c:v>23</c:v>
                </c:pt>
                <c:pt idx="130">
                  <c:v>22.8</c:v>
                </c:pt>
                <c:pt idx="131">
                  <c:v>22.7</c:v>
                </c:pt>
                <c:pt idx="132">
                  <c:v>22.5</c:v>
                </c:pt>
                <c:pt idx="133">
                  <c:v>22.3</c:v>
                </c:pt>
                <c:pt idx="134">
                  <c:v>22.2</c:v>
                </c:pt>
                <c:pt idx="135">
                  <c:v>22</c:v>
                </c:pt>
                <c:pt idx="136">
                  <c:v>21.7</c:v>
                </c:pt>
                <c:pt idx="137">
                  <c:v>21.7</c:v>
                </c:pt>
              </c:numCache>
            </c:numRef>
          </c:val>
          <c:smooth val="0"/>
          <c:extLst xmlns:c16r2="http://schemas.microsoft.com/office/drawing/2015/06/chart">
            <c:ext xmlns:c16="http://schemas.microsoft.com/office/drawing/2014/chart" uri="{C3380CC4-5D6E-409C-BE32-E72D297353CC}">
              <c16:uniqueId val="{00000000-34FF-466D-83C8-BB90B4410CD3}"/>
            </c:ext>
          </c:extLst>
        </c:ser>
        <c:ser>
          <c:idx val="3"/>
          <c:order val="2"/>
          <c:tx>
            <c:strRef>
              <c:f>Лист1!$E$1</c:f>
              <c:strCache>
                <c:ptCount val="1"/>
                <c:pt idx="0">
                  <c:v>Великобритания</c:v>
                </c:pt>
              </c:strCache>
            </c:strRef>
          </c:tx>
          <c:spPr>
            <a:ln w="12700">
              <a:solidFill>
                <a:srgbClr val="7F7F7F"/>
              </a:solidFill>
              <a:prstDash val="sysDash"/>
            </a:ln>
          </c:spPr>
          <c:marker>
            <c:symbol val="none"/>
          </c:marker>
          <c:cat>
            <c:numRef>
              <c:f>Лист1!$B$20:$B$193</c:f>
              <c:numCache>
                <c:formatCode>m/d/yyyy</c:formatCode>
                <c:ptCount val="174"/>
                <c:pt idx="0">
                  <c:v>39113</c:v>
                </c:pt>
                <c:pt idx="1">
                  <c:v>39141</c:v>
                </c:pt>
                <c:pt idx="2">
                  <c:v>39172</c:v>
                </c:pt>
                <c:pt idx="3">
                  <c:v>39202</c:v>
                </c:pt>
                <c:pt idx="4">
                  <c:v>39233</c:v>
                </c:pt>
                <c:pt idx="5">
                  <c:v>39263</c:v>
                </c:pt>
                <c:pt idx="6">
                  <c:v>39294</c:v>
                </c:pt>
                <c:pt idx="7">
                  <c:v>39325</c:v>
                </c:pt>
                <c:pt idx="8">
                  <c:v>39355</c:v>
                </c:pt>
                <c:pt idx="9">
                  <c:v>39386</c:v>
                </c:pt>
                <c:pt idx="10">
                  <c:v>39416</c:v>
                </c:pt>
                <c:pt idx="11">
                  <c:v>39447</c:v>
                </c:pt>
                <c:pt idx="12">
                  <c:v>39478</c:v>
                </c:pt>
                <c:pt idx="13">
                  <c:v>39507</c:v>
                </c:pt>
                <c:pt idx="14">
                  <c:v>39538</c:v>
                </c:pt>
                <c:pt idx="15">
                  <c:v>39568</c:v>
                </c:pt>
                <c:pt idx="16">
                  <c:v>39599</c:v>
                </c:pt>
                <c:pt idx="17">
                  <c:v>39629</c:v>
                </c:pt>
                <c:pt idx="18">
                  <c:v>39660</c:v>
                </c:pt>
                <c:pt idx="19">
                  <c:v>39691</c:v>
                </c:pt>
                <c:pt idx="20">
                  <c:v>39721</c:v>
                </c:pt>
                <c:pt idx="21">
                  <c:v>39752</c:v>
                </c:pt>
                <c:pt idx="22">
                  <c:v>39782</c:v>
                </c:pt>
                <c:pt idx="23">
                  <c:v>39813</c:v>
                </c:pt>
                <c:pt idx="24">
                  <c:v>39844</c:v>
                </c:pt>
                <c:pt idx="25">
                  <c:v>39872</c:v>
                </c:pt>
                <c:pt idx="26">
                  <c:v>39903</c:v>
                </c:pt>
                <c:pt idx="27">
                  <c:v>39933</c:v>
                </c:pt>
                <c:pt idx="28">
                  <c:v>39964</c:v>
                </c:pt>
                <c:pt idx="29">
                  <c:v>39994</c:v>
                </c:pt>
                <c:pt idx="30">
                  <c:v>40025</c:v>
                </c:pt>
                <c:pt idx="31">
                  <c:v>40056</c:v>
                </c:pt>
                <c:pt idx="32">
                  <c:v>40086</c:v>
                </c:pt>
                <c:pt idx="33">
                  <c:v>40117</c:v>
                </c:pt>
                <c:pt idx="34">
                  <c:v>40147</c:v>
                </c:pt>
                <c:pt idx="35">
                  <c:v>40178</c:v>
                </c:pt>
                <c:pt idx="36">
                  <c:v>40209</c:v>
                </c:pt>
                <c:pt idx="37">
                  <c:v>40237</c:v>
                </c:pt>
                <c:pt idx="38">
                  <c:v>40268</c:v>
                </c:pt>
                <c:pt idx="39">
                  <c:v>40298</c:v>
                </c:pt>
                <c:pt idx="40">
                  <c:v>40329</c:v>
                </c:pt>
                <c:pt idx="41">
                  <c:v>40359</c:v>
                </c:pt>
                <c:pt idx="42">
                  <c:v>40390</c:v>
                </c:pt>
                <c:pt idx="43">
                  <c:v>40421</c:v>
                </c:pt>
                <c:pt idx="44">
                  <c:v>40451</c:v>
                </c:pt>
                <c:pt idx="45">
                  <c:v>40482</c:v>
                </c:pt>
                <c:pt idx="46">
                  <c:v>40512</c:v>
                </c:pt>
                <c:pt idx="47">
                  <c:v>40543</c:v>
                </c:pt>
                <c:pt idx="48">
                  <c:v>40574</c:v>
                </c:pt>
                <c:pt idx="49">
                  <c:v>40602</c:v>
                </c:pt>
                <c:pt idx="50">
                  <c:v>40633</c:v>
                </c:pt>
                <c:pt idx="51">
                  <c:v>40663</c:v>
                </c:pt>
                <c:pt idx="52">
                  <c:v>40694</c:v>
                </c:pt>
                <c:pt idx="53">
                  <c:v>40724</c:v>
                </c:pt>
                <c:pt idx="54">
                  <c:v>40755</c:v>
                </c:pt>
                <c:pt idx="55">
                  <c:v>40786</c:v>
                </c:pt>
                <c:pt idx="56">
                  <c:v>40816</c:v>
                </c:pt>
                <c:pt idx="57">
                  <c:v>40847</c:v>
                </c:pt>
                <c:pt idx="58">
                  <c:v>40877</c:v>
                </c:pt>
                <c:pt idx="59">
                  <c:v>40908</c:v>
                </c:pt>
                <c:pt idx="60">
                  <c:v>40939</c:v>
                </c:pt>
                <c:pt idx="61">
                  <c:v>40968</c:v>
                </c:pt>
                <c:pt idx="62">
                  <c:v>40999</c:v>
                </c:pt>
                <c:pt idx="63">
                  <c:v>41029</c:v>
                </c:pt>
                <c:pt idx="64">
                  <c:v>41060</c:v>
                </c:pt>
                <c:pt idx="65">
                  <c:v>41090</c:v>
                </c:pt>
                <c:pt idx="66">
                  <c:v>41121</c:v>
                </c:pt>
                <c:pt idx="67">
                  <c:v>41152</c:v>
                </c:pt>
                <c:pt idx="68">
                  <c:v>41182</c:v>
                </c:pt>
                <c:pt idx="69">
                  <c:v>41213</c:v>
                </c:pt>
                <c:pt idx="70">
                  <c:v>41243</c:v>
                </c:pt>
                <c:pt idx="71">
                  <c:v>41274</c:v>
                </c:pt>
                <c:pt idx="72">
                  <c:v>41305</c:v>
                </c:pt>
                <c:pt idx="73">
                  <c:v>41333</c:v>
                </c:pt>
                <c:pt idx="74">
                  <c:v>41364</c:v>
                </c:pt>
                <c:pt idx="75">
                  <c:v>41394</c:v>
                </c:pt>
                <c:pt idx="76">
                  <c:v>41425</c:v>
                </c:pt>
                <c:pt idx="77">
                  <c:v>41455</c:v>
                </c:pt>
                <c:pt idx="78">
                  <c:v>41486</c:v>
                </c:pt>
                <c:pt idx="79">
                  <c:v>41517</c:v>
                </c:pt>
                <c:pt idx="80">
                  <c:v>41547</c:v>
                </c:pt>
                <c:pt idx="81">
                  <c:v>41578</c:v>
                </c:pt>
                <c:pt idx="82">
                  <c:v>41608</c:v>
                </c:pt>
                <c:pt idx="83">
                  <c:v>41639</c:v>
                </c:pt>
                <c:pt idx="84">
                  <c:v>41670</c:v>
                </c:pt>
                <c:pt idx="85">
                  <c:v>41698</c:v>
                </c:pt>
                <c:pt idx="86">
                  <c:v>41729</c:v>
                </c:pt>
                <c:pt idx="87">
                  <c:v>41759</c:v>
                </c:pt>
                <c:pt idx="88">
                  <c:v>41790</c:v>
                </c:pt>
                <c:pt idx="89">
                  <c:v>41820</c:v>
                </c:pt>
                <c:pt idx="90">
                  <c:v>41851</c:v>
                </c:pt>
                <c:pt idx="91">
                  <c:v>41882</c:v>
                </c:pt>
                <c:pt idx="92">
                  <c:v>41912</c:v>
                </c:pt>
                <c:pt idx="93">
                  <c:v>41943</c:v>
                </c:pt>
                <c:pt idx="94">
                  <c:v>41973</c:v>
                </c:pt>
                <c:pt idx="95">
                  <c:v>42004</c:v>
                </c:pt>
                <c:pt idx="96">
                  <c:v>42035</c:v>
                </c:pt>
                <c:pt idx="97">
                  <c:v>42063</c:v>
                </c:pt>
                <c:pt idx="98">
                  <c:v>42094</c:v>
                </c:pt>
                <c:pt idx="99">
                  <c:v>42124</c:v>
                </c:pt>
                <c:pt idx="100">
                  <c:v>42155</c:v>
                </c:pt>
                <c:pt idx="101">
                  <c:v>42185</c:v>
                </c:pt>
                <c:pt idx="102">
                  <c:v>42216</c:v>
                </c:pt>
                <c:pt idx="103">
                  <c:v>42247</c:v>
                </c:pt>
                <c:pt idx="104">
                  <c:v>42277</c:v>
                </c:pt>
                <c:pt idx="105">
                  <c:v>42308</c:v>
                </c:pt>
                <c:pt idx="106">
                  <c:v>42338</c:v>
                </c:pt>
                <c:pt idx="107">
                  <c:v>42369</c:v>
                </c:pt>
                <c:pt idx="108">
                  <c:v>42400</c:v>
                </c:pt>
                <c:pt idx="109">
                  <c:v>42429</c:v>
                </c:pt>
                <c:pt idx="110">
                  <c:v>42460</c:v>
                </c:pt>
                <c:pt idx="111">
                  <c:v>42490</c:v>
                </c:pt>
                <c:pt idx="112">
                  <c:v>42521</c:v>
                </c:pt>
                <c:pt idx="113">
                  <c:v>42551</c:v>
                </c:pt>
                <c:pt idx="114">
                  <c:v>42582</c:v>
                </c:pt>
                <c:pt idx="115">
                  <c:v>42613</c:v>
                </c:pt>
                <c:pt idx="116">
                  <c:v>42643</c:v>
                </c:pt>
                <c:pt idx="117">
                  <c:v>42674</c:v>
                </c:pt>
                <c:pt idx="118">
                  <c:v>42704</c:v>
                </c:pt>
                <c:pt idx="119">
                  <c:v>42735</c:v>
                </c:pt>
                <c:pt idx="120">
                  <c:v>42766</c:v>
                </c:pt>
                <c:pt idx="121">
                  <c:v>42794</c:v>
                </c:pt>
                <c:pt idx="122">
                  <c:v>42825</c:v>
                </c:pt>
                <c:pt idx="123">
                  <c:v>42855</c:v>
                </c:pt>
                <c:pt idx="124">
                  <c:v>42886</c:v>
                </c:pt>
                <c:pt idx="125">
                  <c:v>42916</c:v>
                </c:pt>
                <c:pt idx="126">
                  <c:v>42947</c:v>
                </c:pt>
                <c:pt idx="127">
                  <c:v>42978</c:v>
                </c:pt>
                <c:pt idx="128">
                  <c:v>43008</c:v>
                </c:pt>
                <c:pt idx="129">
                  <c:v>43039</c:v>
                </c:pt>
                <c:pt idx="130">
                  <c:v>43069</c:v>
                </c:pt>
                <c:pt idx="131">
                  <c:v>43100</c:v>
                </c:pt>
                <c:pt idx="132">
                  <c:v>43131</c:v>
                </c:pt>
                <c:pt idx="133">
                  <c:v>43159</c:v>
                </c:pt>
                <c:pt idx="134">
                  <c:v>43190</c:v>
                </c:pt>
                <c:pt idx="135">
                  <c:v>43220</c:v>
                </c:pt>
                <c:pt idx="136">
                  <c:v>43251</c:v>
                </c:pt>
                <c:pt idx="137">
                  <c:v>43281</c:v>
                </c:pt>
              </c:numCache>
            </c:numRef>
          </c:cat>
          <c:val>
            <c:numRef>
              <c:f>Лист1!$E$20:$E$193</c:f>
              <c:numCache>
                <c:formatCode>General</c:formatCode>
                <c:ptCount val="174"/>
                <c:pt idx="0">
                  <c:v>1.2</c:v>
                </c:pt>
                <c:pt idx="1">
                  <c:v>1.2</c:v>
                </c:pt>
                <c:pt idx="2">
                  <c:v>1.2</c:v>
                </c:pt>
                <c:pt idx="3">
                  <c:v>1.2</c:v>
                </c:pt>
                <c:pt idx="4">
                  <c:v>1.2</c:v>
                </c:pt>
                <c:pt idx="5">
                  <c:v>1.2</c:v>
                </c:pt>
                <c:pt idx="6">
                  <c:v>1.1000000000000001</c:v>
                </c:pt>
                <c:pt idx="7">
                  <c:v>1.3</c:v>
                </c:pt>
                <c:pt idx="8">
                  <c:v>1.9</c:v>
                </c:pt>
                <c:pt idx="9">
                  <c:v>1.3</c:v>
                </c:pt>
                <c:pt idx="10">
                  <c:v>1.5</c:v>
                </c:pt>
                <c:pt idx="11">
                  <c:v>1.7</c:v>
                </c:pt>
                <c:pt idx="12">
                  <c:v>1.4</c:v>
                </c:pt>
                <c:pt idx="13">
                  <c:v>1.4</c:v>
                </c:pt>
                <c:pt idx="14">
                  <c:v>1.5</c:v>
                </c:pt>
                <c:pt idx="15">
                  <c:v>1.5</c:v>
                </c:pt>
                <c:pt idx="16">
                  <c:v>1.6</c:v>
                </c:pt>
                <c:pt idx="17">
                  <c:v>1.8</c:v>
                </c:pt>
                <c:pt idx="18">
                  <c:v>1.8</c:v>
                </c:pt>
                <c:pt idx="19">
                  <c:v>1.8</c:v>
                </c:pt>
                <c:pt idx="20">
                  <c:v>2.2000000000000002</c:v>
                </c:pt>
                <c:pt idx="21">
                  <c:v>2.7</c:v>
                </c:pt>
                <c:pt idx="22">
                  <c:v>2.8</c:v>
                </c:pt>
                <c:pt idx="23">
                  <c:v>3.1</c:v>
                </c:pt>
                <c:pt idx="24">
                  <c:v>1.5</c:v>
                </c:pt>
                <c:pt idx="25">
                  <c:v>3</c:v>
                </c:pt>
                <c:pt idx="26">
                  <c:v>2.9</c:v>
                </c:pt>
                <c:pt idx="27">
                  <c:v>5.2</c:v>
                </c:pt>
                <c:pt idx="28">
                  <c:v>7.1</c:v>
                </c:pt>
                <c:pt idx="29">
                  <c:v>8.8000000000000007</c:v>
                </c:pt>
                <c:pt idx="30">
                  <c:v>10.5</c:v>
                </c:pt>
                <c:pt idx="31">
                  <c:v>8.9</c:v>
                </c:pt>
                <c:pt idx="32">
                  <c:v>9</c:v>
                </c:pt>
                <c:pt idx="33">
                  <c:v>9.8000000000000007</c:v>
                </c:pt>
                <c:pt idx="34">
                  <c:v>9.5</c:v>
                </c:pt>
                <c:pt idx="35">
                  <c:v>9.4</c:v>
                </c:pt>
                <c:pt idx="36">
                  <c:v>10.4</c:v>
                </c:pt>
                <c:pt idx="37">
                  <c:v>10.1</c:v>
                </c:pt>
                <c:pt idx="38">
                  <c:v>9.9</c:v>
                </c:pt>
                <c:pt idx="39">
                  <c:v>9.8000000000000007</c:v>
                </c:pt>
                <c:pt idx="40">
                  <c:v>9.6999999999999993</c:v>
                </c:pt>
                <c:pt idx="41">
                  <c:v>9.6</c:v>
                </c:pt>
                <c:pt idx="42">
                  <c:v>9.6999999999999993</c:v>
                </c:pt>
                <c:pt idx="43">
                  <c:v>9.4</c:v>
                </c:pt>
                <c:pt idx="44">
                  <c:v>9.1999999999999993</c:v>
                </c:pt>
                <c:pt idx="45">
                  <c:v>9.1</c:v>
                </c:pt>
                <c:pt idx="46">
                  <c:v>9.1999999999999993</c:v>
                </c:pt>
                <c:pt idx="47">
                  <c:v>8.8000000000000007</c:v>
                </c:pt>
                <c:pt idx="48">
                  <c:v>8.8000000000000007</c:v>
                </c:pt>
                <c:pt idx="49">
                  <c:v>8.6999999999999993</c:v>
                </c:pt>
                <c:pt idx="50">
                  <c:v>8.4</c:v>
                </c:pt>
                <c:pt idx="51">
                  <c:v>8.1999999999999993</c:v>
                </c:pt>
                <c:pt idx="52">
                  <c:v>8.1999999999999993</c:v>
                </c:pt>
                <c:pt idx="53">
                  <c:v>7.9</c:v>
                </c:pt>
                <c:pt idx="54">
                  <c:v>7.9</c:v>
                </c:pt>
                <c:pt idx="55">
                  <c:v>7.8</c:v>
                </c:pt>
                <c:pt idx="56">
                  <c:v>7.8</c:v>
                </c:pt>
                <c:pt idx="57">
                  <c:v>8.5</c:v>
                </c:pt>
                <c:pt idx="58">
                  <c:v>9.8000000000000007</c:v>
                </c:pt>
                <c:pt idx="59">
                  <c:v>10</c:v>
                </c:pt>
                <c:pt idx="60">
                  <c:v>10.9</c:v>
                </c:pt>
                <c:pt idx="61">
                  <c:v>11.9</c:v>
                </c:pt>
                <c:pt idx="62">
                  <c:v>12.6</c:v>
                </c:pt>
                <c:pt idx="63">
                  <c:v>13.7</c:v>
                </c:pt>
                <c:pt idx="64">
                  <c:v>13.9</c:v>
                </c:pt>
                <c:pt idx="65">
                  <c:v>13.9</c:v>
                </c:pt>
                <c:pt idx="66">
                  <c:v>14.6</c:v>
                </c:pt>
                <c:pt idx="67">
                  <c:v>15.4</c:v>
                </c:pt>
                <c:pt idx="68">
                  <c:v>16</c:v>
                </c:pt>
                <c:pt idx="69">
                  <c:v>16.8</c:v>
                </c:pt>
                <c:pt idx="70">
                  <c:v>16.7</c:v>
                </c:pt>
                <c:pt idx="71">
                  <c:v>16.100000000000001</c:v>
                </c:pt>
                <c:pt idx="72">
                  <c:v>16.100000000000001</c:v>
                </c:pt>
                <c:pt idx="73">
                  <c:v>16.5</c:v>
                </c:pt>
                <c:pt idx="74">
                  <c:v>16.399999999999999</c:v>
                </c:pt>
                <c:pt idx="75">
                  <c:v>16.8</c:v>
                </c:pt>
                <c:pt idx="76">
                  <c:v>16.8</c:v>
                </c:pt>
                <c:pt idx="77">
                  <c:v>16.899999999999999</c:v>
                </c:pt>
                <c:pt idx="78">
                  <c:v>17.100000000000001</c:v>
                </c:pt>
                <c:pt idx="79">
                  <c:v>17.100000000000001</c:v>
                </c:pt>
                <c:pt idx="80">
                  <c:v>16.899999999999999</c:v>
                </c:pt>
                <c:pt idx="81">
                  <c:v>17.399999999999999</c:v>
                </c:pt>
                <c:pt idx="82">
                  <c:v>17.2</c:v>
                </c:pt>
                <c:pt idx="83">
                  <c:v>17</c:v>
                </c:pt>
                <c:pt idx="84">
                  <c:v>17.2</c:v>
                </c:pt>
                <c:pt idx="85">
                  <c:v>17.3</c:v>
                </c:pt>
                <c:pt idx="86">
                  <c:v>16.899999999999999</c:v>
                </c:pt>
                <c:pt idx="87">
                  <c:v>17.100000000000001</c:v>
                </c:pt>
                <c:pt idx="88">
                  <c:v>17.100000000000001</c:v>
                </c:pt>
                <c:pt idx="89">
                  <c:v>16.899999999999999</c:v>
                </c:pt>
                <c:pt idx="90">
                  <c:v>16.8</c:v>
                </c:pt>
                <c:pt idx="91">
                  <c:v>16.7</c:v>
                </c:pt>
                <c:pt idx="92">
                  <c:v>15.9</c:v>
                </c:pt>
                <c:pt idx="93">
                  <c:v>16.600000000000001</c:v>
                </c:pt>
                <c:pt idx="94">
                  <c:v>16.600000000000001</c:v>
                </c:pt>
                <c:pt idx="95">
                  <c:v>16.3</c:v>
                </c:pt>
                <c:pt idx="96">
                  <c:v>16.600000000000001</c:v>
                </c:pt>
                <c:pt idx="97">
                  <c:v>16.600000000000001</c:v>
                </c:pt>
                <c:pt idx="98">
                  <c:v>16.5</c:v>
                </c:pt>
                <c:pt idx="99">
                  <c:v>16.8</c:v>
                </c:pt>
                <c:pt idx="100">
                  <c:v>17</c:v>
                </c:pt>
                <c:pt idx="101">
                  <c:v>16.899999999999999</c:v>
                </c:pt>
                <c:pt idx="102">
                  <c:v>17</c:v>
                </c:pt>
                <c:pt idx="103">
                  <c:v>17</c:v>
                </c:pt>
                <c:pt idx="104">
                  <c:v>16.600000000000001</c:v>
                </c:pt>
                <c:pt idx="105">
                  <c:v>16.8</c:v>
                </c:pt>
                <c:pt idx="106">
                  <c:v>16.7</c:v>
                </c:pt>
                <c:pt idx="107">
                  <c:v>16.399999999999999</c:v>
                </c:pt>
                <c:pt idx="108">
                  <c:v>16.399999999999999</c:v>
                </c:pt>
                <c:pt idx="109">
                  <c:v>16.600000000000001</c:v>
                </c:pt>
                <c:pt idx="110">
                  <c:v>16.5</c:v>
                </c:pt>
                <c:pt idx="111">
                  <c:v>16.600000000000001</c:v>
                </c:pt>
                <c:pt idx="112">
                  <c:v>16.600000000000001</c:v>
                </c:pt>
                <c:pt idx="113">
                  <c:v>16.5</c:v>
                </c:pt>
                <c:pt idx="114">
                  <c:v>16.600000000000001</c:v>
                </c:pt>
                <c:pt idx="115">
                  <c:v>17</c:v>
                </c:pt>
                <c:pt idx="116">
                  <c:v>16.8</c:v>
                </c:pt>
                <c:pt idx="117">
                  <c:v>17.7</c:v>
                </c:pt>
                <c:pt idx="118">
                  <c:v>18.3</c:v>
                </c:pt>
                <c:pt idx="119">
                  <c:v>18.899999999999999</c:v>
                </c:pt>
                <c:pt idx="120">
                  <c:v>19.5</c:v>
                </c:pt>
                <c:pt idx="121">
                  <c:v>20.6</c:v>
                </c:pt>
                <c:pt idx="122">
                  <c:v>21.4</c:v>
                </c:pt>
                <c:pt idx="123">
                  <c:v>21.8</c:v>
                </c:pt>
                <c:pt idx="124">
                  <c:v>21.9</c:v>
                </c:pt>
                <c:pt idx="125">
                  <c:v>22</c:v>
                </c:pt>
                <c:pt idx="126">
                  <c:v>22.3</c:v>
                </c:pt>
                <c:pt idx="127">
                  <c:v>22.1</c:v>
                </c:pt>
                <c:pt idx="128">
                  <c:v>22.2</c:v>
                </c:pt>
                <c:pt idx="129">
                  <c:v>22.6</c:v>
                </c:pt>
                <c:pt idx="130">
                  <c:v>22.6</c:v>
                </c:pt>
                <c:pt idx="131">
                  <c:v>22.6</c:v>
                </c:pt>
                <c:pt idx="132">
                  <c:v>23.1</c:v>
                </c:pt>
                <c:pt idx="133">
                  <c:v>24.1</c:v>
                </c:pt>
                <c:pt idx="134">
                  <c:v>23.5</c:v>
                </c:pt>
                <c:pt idx="135">
                  <c:v>24.2</c:v>
                </c:pt>
                <c:pt idx="136">
                  <c:v>24</c:v>
                </c:pt>
                <c:pt idx="137">
                  <c:v>24</c:v>
                </c:pt>
              </c:numCache>
            </c:numRef>
          </c:val>
          <c:smooth val="0"/>
          <c:extLst xmlns:c16r2="http://schemas.microsoft.com/office/drawing/2015/06/chart">
            <c:ext xmlns:c16="http://schemas.microsoft.com/office/drawing/2014/chart" uri="{C3380CC4-5D6E-409C-BE32-E72D297353CC}">
              <c16:uniqueId val="{00000001-34FF-466D-83C8-BB90B4410CD3}"/>
            </c:ext>
          </c:extLst>
        </c:ser>
        <c:ser>
          <c:idx val="4"/>
          <c:order val="3"/>
          <c:tx>
            <c:strRef>
              <c:f>Лист1!$F$1</c:f>
              <c:strCache>
                <c:ptCount val="1"/>
                <c:pt idx="0">
                  <c:v>Еврозона</c:v>
                </c:pt>
              </c:strCache>
            </c:strRef>
          </c:tx>
          <c:spPr>
            <a:ln w="12700">
              <a:solidFill>
                <a:srgbClr val="00B050"/>
              </a:solidFill>
            </a:ln>
          </c:spPr>
          <c:marker>
            <c:symbol val="none"/>
          </c:marker>
          <c:cat>
            <c:numRef>
              <c:f>Лист1!$B$20:$B$193</c:f>
              <c:numCache>
                <c:formatCode>m/d/yyyy</c:formatCode>
                <c:ptCount val="174"/>
                <c:pt idx="0">
                  <c:v>39113</c:v>
                </c:pt>
                <c:pt idx="1">
                  <c:v>39141</c:v>
                </c:pt>
                <c:pt idx="2">
                  <c:v>39172</c:v>
                </c:pt>
                <c:pt idx="3">
                  <c:v>39202</c:v>
                </c:pt>
                <c:pt idx="4">
                  <c:v>39233</c:v>
                </c:pt>
                <c:pt idx="5">
                  <c:v>39263</c:v>
                </c:pt>
                <c:pt idx="6">
                  <c:v>39294</c:v>
                </c:pt>
                <c:pt idx="7">
                  <c:v>39325</c:v>
                </c:pt>
                <c:pt idx="8">
                  <c:v>39355</c:v>
                </c:pt>
                <c:pt idx="9">
                  <c:v>39386</c:v>
                </c:pt>
                <c:pt idx="10">
                  <c:v>39416</c:v>
                </c:pt>
                <c:pt idx="11">
                  <c:v>39447</c:v>
                </c:pt>
                <c:pt idx="12">
                  <c:v>39478</c:v>
                </c:pt>
                <c:pt idx="13">
                  <c:v>39507</c:v>
                </c:pt>
                <c:pt idx="14">
                  <c:v>39538</c:v>
                </c:pt>
                <c:pt idx="15">
                  <c:v>39568</c:v>
                </c:pt>
                <c:pt idx="16">
                  <c:v>39599</c:v>
                </c:pt>
                <c:pt idx="17">
                  <c:v>39629</c:v>
                </c:pt>
                <c:pt idx="18">
                  <c:v>39660</c:v>
                </c:pt>
                <c:pt idx="19">
                  <c:v>39691</c:v>
                </c:pt>
                <c:pt idx="20">
                  <c:v>39721</c:v>
                </c:pt>
                <c:pt idx="21">
                  <c:v>39752</c:v>
                </c:pt>
                <c:pt idx="22">
                  <c:v>39782</c:v>
                </c:pt>
                <c:pt idx="23">
                  <c:v>39813</c:v>
                </c:pt>
                <c:pt idx="24">
                  <c:v>39844</c:v>
                </c:pt>
                <c:pt idx="25">
                  <c:v>39872</c:v>
                </c:pt>
                <c:pt idx="26">
                  <c:v>39903</c:v>
                </c:pt>
                <c:pt idx="27">
                  <c:v>39933</c:v>
                </c:pt>
                <c:pt idx="28">
                  <c:v>39964</c:v>
                </c:pt>
                <c:pt idx="29">
                  <c:v>39994</c:v>
                </c:pt>
                <c:pt idx="30">
                  <c:v>40025</c:v>
                </c:pt>
                <c:pt idx="31">
                  <c:v>40056</c:v>
                </c:pt>
                <c:pt idx="32">
                  <c:v>40086</c:v>
                </c:pt>
                <c:pt idx="33">
                  <c:v>40117</c:v>
                </c:pt>
                <c:pt idx="34">
                  <c:v>40147</c:v>
                </c:pt>
                <c:pt idx="35">
                  <c:v>40178</c:v>
                </c:pt>
                <c:pt idx="36">
                  <c:v>40209</c:v>
                </c:pt>
                <c:pt idx="37">
                  <c:v>40237</c:v>
                </c:pt>
                <c:pt idx="38">
                  <c:v>40268</c:v>
                </c:pt>
                <c:pt idx="39">
                  <c:v>40298</c:v>
                </c:pt>
                <c:pt idx="40">
                  <c:v>40329</c:v>
                </c:pt>
                <c:pt idx="41">
                  <c:v>40359</c:v>
                </c:pt>
                <c:pt idx="42">
                  <c:v>40390</c:v>
                </c:pt>
                <c:pt idx="43">
                  <c:v>40421</c:v>
                </c:pt>
                <c:pt idx="44">
                  <c:v>40451</c:v>
                </c:pt>
                <c:pt idx="45">
                  <c:v>40482</c:v>
                </c:pt>
                <c:pt idx="46">
                  <c:v>40512</c:v>
                </c:pt>
                <c:pt idx="47">
                  <c:v>40543</c:v>
                </c:pt>
                <c:pt idx="48">
                  <c:v>40574</c:v>
                </c:pt>
                <c:pt idx="49">
                  <c:v>40602</c:v>
                </c:pt>
                <c:pt idx="50">
                  <c:v>40633</c:v>
                </c:pt>
                <c:pt idx="51">
                  <c:v>40663</c:v>
                </c:pt>
                <c:pt idx="52">
                  <c:v>40694</c:v>
                </c:pt>
                <c:pt idx="53">
                  <c:v>40724</c:v>
                </c:pt>
                <c:pt idx="54">
                  <c:v>40755</c:v>
                </c:pt>
                <c:pt idx="55">
                  <c:v>40786</c:v>
                </c:pt>
                <c:pt idx="56">
                  <c:v>40816</c:v>
                </c:pt>
                <c:pt idx="57">
                  <c:v>40847</c:v>
                </c:pt>
                <c:pt idx="58">
                  <c:v>40877</c:v>
                </c:pt>
                <c:pt idx="59">
                  <c:v>40908</c:v>
                </c:pt>
                <c:pt idx="60">
                  <c:v>40939</c:v>
                </c:pt>
                <c:pt idx="61">
                  <c:v>40968</c:v>
                </c:pt>
                <c:pt idx="62">
                  <c:v>40999</c:v>
                </c:pt>
                <c:pt idx="63">
                  <c:v>41029</c:v>
                </c:pt>
                <c:pt idx="64">
                  <c:v>41060</c:v>
                </c:pt>
                <c:pt idx="65">
                  <c:v>41090</c:v>
                </c:pt>
                <c:pt idx="66">
                  <c:v>41121</c:v>
                </c:pt>
                <c:pt idx="67">
                  <c:v>41152</c:v>
                </c:pt>
                <c:pt idx="68">
                  <c:v>41182</c:v>
                </c:pt>
                <c:pt idx="69">
                  <c:v>41213</c:v>
                </c:pt>
                <c:pt idx="70">
                  <c:v>41243</c:v>
                </c:pt>
                <c:pt idx="71">
                  <c:v>41274</c:v>
                </c:pt>
                <c:pt idx="72">
                  <c:v>41305</c:v>
                </c:pt>
                <c:pt idx="73">
                  <c:v>41333</c:v>
                </c:pt>
                <c:pt idx="74">
                  <c:v>41364</c:v>
                </c:pt>
                <c:pt idx="75">
                  <c:v>41394</c:v>
                </c:pt>
                <c:pt idx="76">
                  <c:v>41425</c:v>
                </c:pt>
                <c:pt idx="77">
                  <c:v>41455</c:v>
                </c:pt>
                <c:pt idx="78">
                  <c:v>41486</c:v>
                </c:pt>
                <c:pt idx="79">
                  <c:v>41517</c:v>
                </c:pt>
                <c:pt idx="80">
                  <c:v>41547</c:v>
                </c:pt>
                <c:pt idx="81">
                  <c:v>41578</c:v>
                </c:pt>
                <c:pt idx="82">
                  <c:v>41608</c:v>
                </c:pt>
                <c:pt idx="83">
                  <c:v>41639</c:v>
                </c:pt>
                <c:pt idx="84">
                  <c:v>41670</c:v>
                </c:pt>
                <c:pt idx="85">
                  <c:v>41698</c:v>
                </c:pt>
                <c:pt idx="86">
                  <c:v>41729</c:v>
                </c:pt>
                <c:pt idx="87">
                  <c:v>41759</c:v>
                </c:pt>
                <c:pt idx="88">
                  <c:v>41790</c:v>
                </c:pt>
                <c:pt idx="89">
                  <c:v>41820</c:v>
                </c:pt>
                <c:pt idx="90">
                  <c:v>41851</c:v>
                </c:pt>
                <c:pt idx="91">
                  <c:v>41882</c:v>
                </c:pt>
                <c:pt idx="92">
                  <c:v>41912</c:v>
                </c:pt>
                <c:pt idx="93">
                  <c:v>41943</c:v>
                </c:pt>
                <c:pt idx="94">
                  <c:v>41973</c:v>
                </c:pt>
                <c:pt idx="95">
                  <c:v>42004</c:v>
                </c:pt>
                <c:pt idx="96">
                  <c:v>42035</c:v>
                </c:pt>
                <c:pt idx="97">
                  <c:v>42063</c:v>
                </c:pt>
                <c:pt idx="98">
                  <c:v>42094</c:v>
                </c:pt>
                <c:pt idx="99">
                  <c:v>42124</c:v>
                </c:pt>
                <c:pt idx="100">
                  <c:v>42155</c:v>
                </c:pt>
                <c:pt idx="101">
                  <c:v>42185</c:v>
                </c:pt>
                <c:pt idx="102">
                  <c:v>42216</c:v>
                </c:pt>
                <c:pt idx="103">
                  <c:v>42247</c:v>
                </c:pt>
                <c:pt idx="104">
                  <c:v>42277</c:v>
                </c:pt>
                <c:pt idx="105">
                  <c:v>42308</c:v>
                </c:pt>
                <c:pt idx="106">
                  <c:v>42338</c:v>
                </c:pt>
                <c:pt idx="107">
                  <c:v>42369</c:v>
                </c:pt>
                <c:pt idx="108">
                  <c:v>42400</c:v>
                </c:pt>
                <c:pt idx="109">
                  <c:v>42429</c:v>
                </c:pt>
                <c:pt idx="110">
                  <c:v>42460</c:v>
                </c:pt>
                <c:pt idx="111">
                  <c:v>42490</c:v>
                </c:pt>
                <c:pt idx="112">
                  <c:v>42521</c:v>
                </c:pt>
                <c:pt idx="113">
                  <c:v>42551</c:v>
                </c:pt>
                <c:pt idx="114">
                  <c:v>42582</c:v>
                </c:pt>
                <c:pt idx="115">
                  <c:v>42613</c:v>
                </c:pt>
                <c:pt idx="116">
                  <c:v>42643</c:v>
                </c:pt>
                <c:pt idx="117">
                  <c:v>42674</c:v>
                </c:pt>
                <c:pt idx="118">
                  <c:v>42704</c:v>
                </c:pt>
                <c:pt idx="119">
                  <c:v>42735</c:v>
                </c:pt>
                <c:pt idx="120">
                  <c:v>42766</c:v>
                </c:pt>
                <c:pt idx="121">
                  <c:v>42794</c:v>
                </c:pt>
                <c:pt idx="122">
                  <c:v>42825</c:v>
                </c:pt>
                <c:pt idx="123">
                  <c:v>42855</c:v>
                </c:pt>
                <c:pt idx="124">
                  <c:v>42886</c:v>
                </c:pt>
                <c:pt idx="125">
                  <c:v>42916</c:v>
                </c:pt>
                <c:pt idx="126">
                  <c:v>42947</c:v>
                </c:pt>
                <c:pt idx="127">
                  <c:v>42978</c:v>
                </c:pt>
                <c:pt idx="128">
                  <c:v>43008</c:v>
                </c:pt>
                <c:pt idx="129">
                  <c:v>43039</c:v>
                </c:pt>
                <c:pt idx="130">
                  <c:v>43069</c:v>
                </c:pt>
                <c:pt idx="131">
                  <c:v>43100</c:v>
                </c:pt>
                <c:pt idx="132">
                  <c:v>43131</c:v>
                </c:pt>
                <c:pt idx="133">
                  <c:v>43159</c:v>
                </c:pt>
                <c:pt idx="134">
                  <c:v>43190</c:v>
                </c:pt>
                <c:pt idx="135">
                  <c:v>43220</c:v>
                </c:pt>
                <c:pt idx="136">
                  <c:v>43251</c:v>
                </c:pt>
                <c:pt idx="137">
                  <c:v>43281</c:v>
                </c:pt>
              </c:numCache>
            </c:numRef>
          </c:cat>
          <c:val>
            <c:numRef>
              <c:f>Лист1!$F$20:$F$193</c:f>
              <c:numCache>
                <c:formatCode>General</c:formatCode>
                <c:ptCount val="174"/>
                <c:pt idx="0">
                  <c:v>12.8</c:v>
                </c:pt>
                <c:pt idx="1">
                  <c:v>12.8</c:v>
                </c:pt>
                <c:pt idx="2">
                  <c:v>12.9</c:v>
                </c:pt>
                <c:pt idx="3">
                  <c:v>13</c:v>
                </c:pt>
                <c:pt idx="4">
                  <c:v>13</c:v>
                </c:pt>
                <c:pt idx="5">
                  <c:v>13.2</c:v>
                </c:pt>
                <c:pt idx="6">
                  <c:v>13.2</c:v>
                </c:pt>
                <c:pt idx="7">
                  <c:v>12.5</c:v>
                </c:pt>
                <c:pt idx="8">
                  <c:v>13.5</c:v>
                </c:pt>
                <c:pt idx="9">
                  <c:v>13.5</c:v>
                </c:pt>
                <c:pt idx="10">
                  <c:v>13.9</c:v>
                </c:pt>
                <c:pt idx="11">
                  <c:v>16.100000000000001</c:v>
                </c:pt>
                <c:pt idx="12">
                  <c:v>14.2</c:v>
                </c:pt>
                <c:pt idx="13">
                  <c:v>14.1</c:v>
                </c:pt>
                <c:pt idx="14">
                  <c:v>14.6</c:v>
                </c:pt>
                <c:pt idx="15">
                  <c:v>14.7</c:v>
                </c:pt>
                <c:pt idx="16">
                  <c:v>14.9</c:v>
                </c:pt>
                <c:pt idx="17">
                  <c:v>15.3</c:v>
                </c:pt>
                <c:pt idx="18">
                  <c:v>15.1</c:v>
                </c:pt>
                <c:pt idx="19">
                  <c:v>15.1</c:v>
                </c:pt>
                <c:pt idx="20">
                  <c:v>15.8</c:v>
                </c:pt>
                <c:pt idx="21">
                  <c:v>21.1</c:v>
                </c:pt>
                <c:pt idx="22">
                  <c:v>20.6</c:v>
                </c:pt>
                <c:pt idx="23">
                  <c:v>21.2</c:v>
                </c:pt>
                <c:pt idx="24">
                  <c:v>19.899999999999999</c:v>
                </c:pt>
                <c:pt idx="25">
                  <c:v>19</c:v>
                </c:pt>
                <c:pt idx="26">
                  <c:v>18.899999999999999</c:v>
                </c:pt>
                <c:pt idx="27">
                  <c:v>19.2</c:v>
                </c:pt>
                <c:pt idx="28">
                  <c:v>19</c:v>
                </c:pt>
                <c:pt idx="29">
                  <c:v>21.2</c:v>
                </c:pt>
                <c:pt idx="30">
                  <c:v>19.7</c:v>
                </c:pt>
                <c:pt idx="31">
                  <c:v>19.5</c:v>
                </c:pt>
                <c:pt idx="32">
                  <c:v>19.2</c:v>
                </c:pt>
                <c:pt idx="33">
                  <c:v>19.100000000000001</c:v>
                </c:pt>
                <c:pt idx="34">
                  <c:v>18.899999999999999</c:v>
                </c:pt>
                <c:pt idx="35">
                  <c:v>19.899999999999999</c:v>
                </c:pt>
                <c:pt idx="36">
                  <c:v>20.2</c:v>
                </c:pt>
                <c:pt idx="37">
                  <c:v>20.3</c:v>
                </c:pt>
                <c:pt idx="38">
                  <c:v>20.3</c:v>
                </c:pt>
                <c:pt idx="39">
                  <c:v>21</c:v>
                </c:pt>
                <c:pt idx="40">
                  <c:v>22.3</c:v>
                </c:pt>
                <c:pt idx="41">
                  <c:v>23</c:v>
                </c:pt>
                <c:pt idx="42">
                  <c:v>21.3</c:v>
                </c:pt>
                <c:pt idx="43">
                  <c:v>20.8</c:v>
                </c:pt>
                <c:pt idx="44">
                  <c:v>20.8</c:v>
                </c:pt>
                <c:pt idx="45">
                  <c:v>20</c:v>
                </c:pt>
                <c:pt idx="46">
                  <c:v>20.100000000000001</c:v>
                </c:pt>
                <c:pt idx="47">
                  <c:v>21</c:v>
                </c:pt>
                <c:pt idx="48">
                  <c:v>20.5</c:v>
                </c:pt>
                <c:pt idx="49">
                  <c:v>20.3</c:v>
                </c:pt>
                <c:pt idx="50">
                  <c:v>20</c:v>
                </c:pt>
                <c:pt idx="51">
                  <c:v>19.600000000000001</c:v>
                </c:pt>
                <c:pt idx="52">
                  <c:v>19.600000000000001</c:v>
                </c:pt>
                <c:pt idx="53">
                  <c:v>20.3</c:v>
                </c:pt>
                <c:pt idx="54">
                  <c:v>20.6</c:v>
                </c:pt>
                <c:pt idx="55">
                  <c:v>21.3</c:v>
                </c:pt>
                <c:pt idx="56">
                  <c:v>23.5</c:v>
                </c:pt>
                <c:pt idx="57">
                  <c:v>23.9</c:v>
                </c:pt>
                <c:pt idx="58">
                  <c:v>24.7</c:v>
                </c:pt>
                <c:pt idx="59">
                  <c:v>27.9</c:v>
                </c:pt>
                <c:pt idx="60">
                  <c:v>27.4</c:v>
                </c:pt>
                <c:pt idx="61">
                  <c:v>27.5</c:v>
                </c:pt>
                <c:pt idx="62">
                  <c:v>30.2</c:v>
                </c:pt>
                <c:pt idx="63">
                  <c:v>30.2</c:v>
                </c:pt>
                <c:pt idx="64">
                  <c:v>30.3</c:v>
                </c:pt>
                <c:pt idx="65">
                  <c:v>31.6</c:v>
                </c:pt>
                <c:pt idx="66">
                  <c:v>31.5</c:v>
                </c:pt>
                <c:pt idx="67">
                  <c:v>31.4</c:v>
                </c:pt>
                <c:pt idx="68">
                  <c:v>31.3</c:v>
                </c:pt>
                <c:pt idx="69">
                  <c:v>31</c:v>
                </c:pt>
                <c:pt idx="70">
                  <c:v>30.8</c:v>
                </c:pt>
                <c:pt idx="71">
                  <c:v>30.7</c:v>
                </c:pt>
                <c:pt idx="72">
                  <c:v>29.8</c:v>
                </c:pt>
                <c:pt idx="73">
                  <c:v>27.9</c:v>
                </c:pt>
                <c:pt idx="74">
                  <c:v>26.9</c:v>
                </c:pt>
                <c:pt idx="75">
                  <c:v>26.5</c:v>
                </c:pt>
                <c:pt idx="76">
                  <c:v>25.9</c:v>
                </c:pt>
                <c:pt idx="77">
                  <c:v>24.6</c:v>
                </c:pt>
                <c:pt idx="78">
                  <c:v>24.3</c:v>
                </c:pt>
                <c:pt idx="79">
                  <c:v>23.9</c:v>
                </c:pt>
                <c:pt idx="80">
                  <c:v>23.6</c:v>
                </c:pt>
                <c:pt idx="81">
                  <c:v>23.4</c:v>
                </c:pt>
                <c:pt idx="82">
                  <c:v>23.1</c:v>
                </c:pt>
                <c:pt idx="83">
                  <c:v>23</c:v>
                </c:pt>
                <c:pt idx="84">
                  <c:v>22.3</c:v>
                </c:pt>
                <c:pt idx="85">
                  <c:v>21.9</c:v>
                </c:pt>
                <c:pt idx="86">
                  <c:v>21.5</c:v>
                </c:pt>
                <c:pt idx="87">
                  <c:v>21.7</c:v>
                </c:pt>
                <c:pt idx="88">
                  <c:v>21.9</c:v>
                </c:pt>
                <c:pt idx="89">
                  <c:v>20.8</c:v>
                </c:pt>
                <c:pt idx="90">
                  <c:v>20.3</c:v>
                </c:pt>
                <c:pt idx="91">
                  <c:v>20.2</c:v>
                </c:pt>
                <c:pt idx="92">
                  <c:v>20.2</c:v>
                </c:pt>
                <c:pt idx="93">
                  <c:v>20.3</c:v>
                </c:pt>
                <c:pt idx="94">
                  <c:v>20.2</c:v>
                </c:pt>
                <c:pt idx="95">
                  <c:v>21.2</c:v>
                </c:pt>
                <c:pt idx="96">
                  <c:v>21.4</c:v>
                </c:pt>
                <c:pt idx="97">
                  <c:v>21.1</c:v>
                </c:pt>
                <c:pt idx="98">
                  <c:v>22</c:v>
                </c:pt>
                <c:pt idx="99">
                  <c:v>23</c:v>
                </c:pt>
                <c:pt idx="100">
                  <c:v>23.5</c:v>
                </c:pt>
                <c:pt idx="101">
                  <c:v>24.6</c:v>
                </c:pt>
                <c:pt idx="102">
                  <c:v>24.5</c:v>
                </c:pt>
                <c:pt idx="103">
                  <c:v>24.6</c:v>
                </c:pt>
                <c:pt idx="104">
                  <c:v>25.1</c:v>
                </c:pt>
                <c:pt idx="105">
                  <c:v>25.5</c:v>
                </c:pt>
                <c:pt idx="106">
                  <c:v>25.8</c:v>
                </c:pt>
                <c:pt idx="107">
                  <c:v>26.3</c:v>
                </c:pt>
                <c:pt idx="108">
                  <c:v>26.6</c:v>
                </c:pt>
                <c:pt idx="109">
                  <c:v>27</c:v>
                </c:pt>
                <c:pt idx="110">
                  <c:v>27.4</c:v>
                </c:pt>
                <c:pt idx="111">
                  <c:v>28.3</c:v>
                </c:pt>
                <c:pt idx="112">
                  <c:v>28.9</c:v>
                </c:pt>
                <c:pt idx="113">
                  <c:v>29.4</c:v>
                </c:pt>
                <c:pt idx="114">
                  <c:v>30.8</c:v>
                </c:pt>
                <c:pt idx="115">
                  <c:v>31.1</c:v>
                </c:pt>
                <c:pt idx="116">
                  <c:v>32.1</c:v>
                </c:pt>
                <c:pt idx="117">
                  <c:v>32.700000000000003</c:v>
                </c:pt>
                <c:pt idx="118">
                  <c:v>33.1</c:v>
                </c:pt>
                <c:pt idx="119">
                  <c:v>34</c:v>
                </c:pt>
                <c:pt idx="120">
                  <c:v>34.6</c:v>
                </c:pt>
                <c:pt idx="121">
                  <c:v>35.200000000000003</c:v>
                </c:pt>
                <c:pt idx="122">
                  <c:v>37.799999999999997</c:v>
                </c:pt>
                <c:pt idx="123">
                  <c:v>38.1</c:v>
                </c:pt>
                <c:pt idx="124">
                  <c:v>38.4</c:v>
                </c:pt>
                <c:pt idx="125">
                  <c:v>38.4</c:v>
                </c:pt>
                <c:pt idx="126">
                  <c:v>38.6</c:v>
                </c:pt>
                <c:pt idx="127">
                  <c:v>38.799999999999997</c:v>
                </c:pt>
                <c:pt idx="128">
                  <c:v>39</c:v>
                </c:pt>
                <c:pt idx="129">
                  <c:v>39.4</c:v>
                </c:pt>
                <c:pt idx="130">
                  <c:v>39.700000000000003</c:v>
                </c:pt>
                <c:pt idx="131">
                  <c:v>40</c:v>
                </c:pt>
                <c:pt idx="132">
                  <c:v>40.1</c:v>
                </c:pt>
                <c:pt idx="133">
                  <c:v>40.1</c:v>
                </c:pt>
                <c:pt idx="134">
                  <c:v>40.1</c:v>
                </c:pt>
                <c:pt idx="135">
                  <c:v>40.299999999999997</c:v>
                </c:pt>
                <c:pt idx="136">
                  <c:v>40.299999999999997</c:v>
                </c:pt>
                <c:pt idx="137">
                  <c:v>40.299999999999997</c:v>
                </c:pt>
              </c:numCache>
            </c:numRef>
          </c:val>
          <c:smooth val="0"/>
          <c:extLst xmlns:c16r2="http://schemas.microsoft.com/office/drawing/2015/06/chart">
            <c:ext xmlns:c16="http://schemas.microsoft.com/office/drawing/2014/chart" uri="{C3380CC4-5D6E-409C-BE32-E72D297353CC}">
              <c16:uniqueId val="{00000002-34FF-466D-83C8-BB90B4410CD3}"/>
            </c:ext>
          </c:extLst>
        </c:ser>
        <c:dLbls>
          <c:showLegendKey val="0"/>
          <c:showVal val="0"/>
          <c:showCatName val="0"/>
          <c:showSerName val="0"/>
          <c:showPercent val="0"/>
          <c:showBubbleSize val="0"/>
        </c:dLbls>
        <c:marker val="1"/>
        <c:smooth val="0"/>
        <c:axId val="90418688"/>
        <c:axId val="225348992"/>
      </c:lineChart>
      <c:lineChart>
        <c:grouping val="standard"/>
        <c:varyColors val="0"/>
        <c:ser>
          <c:idx val="2"/>
          <c:order val="1"/>
          <c:tx>
            <c:strRef>
              <c:f>Лист1!$D$1</c:f>
              <c:strCache>
                <c:ptCount val="1"/>
                <c:pt idx="0">
                  <c:v>Япония (прав.шкала)</c:v>
                </c:pt>
              </c:strCache>
            </c:strRef>
          </c:tx>
          <c:spPr>
            <a:ln w="12700">
              <a:solidFill>
                <a:srgbClr val="948A54"/>
              </a:solidFill>
            </a:ln>
          </c:spPr>
          <c:marker>
            <c:symbol val="none"/>
          </c:marker>
          <c:cat>
            <c:numRef>
              <c:f>Лист1!$B$20:$B$193</c:f>
              <c:numCache>
                <c:formatCode>m/d/yyyy</c:formatCode>
                <c:ptCount val="174"/>
                <c:pt idx="0">
                  <c:v>39113</c:v>
                </c:pt>
                <c:pt idx="1">
                  <c:v>39141</c:v>
                </c:pt>
                <c:pt idx="2">
                  <c:v>39172</c:v>
                </c:pt>
                <c:pt idx="3">
                  <c:v>39202</c:v>
                </c:pt>
                <c:pt idx="4">
                  <c:v>39233</c:v>
                </c:pt>
                <c:pt idx="5">
                  <c:v>39263</c:v>
                </c:pt>
                <c:pt idx="6">
                  <c:v>39294</c:v>
                </c:pt>
                <c:pt idx="7">
                  <c:v>39325</c:v>
                </c:pt>
                <c:pt idx="8">
                  <c:v>39355</c:v>
                </c:pt>
                <c:pt idx="9">
                  <c:v>39386</c:v>
                </c:pt>
                <c:pt idx="10">
                  <c:v>39416</c:v>
                </c:pt>
                <c:pt idx="11">
                  <c:v>39447</c:v>
                </c:pt>
                <c:pt idx="12">
                  <c:v>39478</c:v>
                </c:pt>
                <c:pt idx="13">
                  <c:v>39507</c:v>
                </c:pt>
                <c:pt idx="14">
                  <c:v>39538</c:v>
                </c:pt>
                <c:pt idx="15">
                  <c:v>39568</c:v>
                </c:pt>
                <c:pt idx="16">
                  <c:v>39599</c:v>
                </c:pt>
                <c:pt idx="17">
                  <c:v>39629</c:v>
                </c:pt>
                <c:pt idx="18">
                  <c:v>39660</c:v>
                </c:pt>
                <c:pt idx="19">
                  <c:v>39691</c:v>
                </c:pt>
                <c:pt idx="20">
                  <c:v>39721</c:v>
                </c:pt>
                <c:pt idx="21">
                  <c:v>39752</c:v>
                </c:pt>
                <c:pt idx="22">
                  <c:v>39782</c:v>
                </c:pt>
                <c:pt idx="23">
                  <c:v>39813</c:v>
                </c:pt>
                <c:pt idx="24">
                  <c:v>39844</c:v>
                </c:pt>
                <c:pt idx="25">
                  <c:v>39872</c:v>
                </c:pt>
                <c:pt idx="26">
                  <c:v>39903</c:v>
                </c:pt>
                <c:pt idx="27">
                  <c:v>39933</c:v>
                </c:pt>
                <c:pt idx="28">
                  <c:v>39964</c:v>
                </c:pt>
                <c:pt idx="29">
                  <c:v>39994</c:v>
                </c:pt>
                <c:pt idx="30">
                  <c:v>40025</c:v>
                </c:pt>
                <c:pt idx="31">
                  <c:v>40056</c:v>
                </c:pt>
                <c:pt idx="32">
                  <c:v>40086</c:v>
                </c:pt>
                <c:pt idx="33">
                  <c:v>40117</c:v>
                </c:pt>
                <c:pt idx="34">
                  <c:v>40147</c:v>
                </c:pt>
                <c:pt idx="35">
                  <c:v>40178</c:v>
                </c:pt>
                <c:pt idx="36">
                  <c:v>40209</c:v>
                </c:pt>
                <c:pt idx="37">
                  <c:v>40237</c:v>
                </c:pt>
                <c:pt idx="38">
                  <c:v>40268</c:v>
                </c:pt>
                <c:pt idx="39">
                  <c:v>40298</c:v>
                </c:pt>
                <c:pt idx="40">
                  <c:v>40329</c:v>
                </c:pt>
                <c:pt idx="41">
                  <c:v>40359</c:v>
                </c:pt>
                <c:pt idx="42">
                  <c:v>40390</c:v>
                </c:pt>
                <c:pt idx="43">
                  <c:v>40421</c:v>
                </c:pt>
                <c:pt idx="44">
                  <c:v>40451</c:v>
                </c:pt>
                <c:pt idx="45">
                  <c:v>40482</c:v>
                </c:pt>
                <c:pt idx="46">
                  <c:v>40512</c:v>
                </c:pt>
                <c:pt idx="47">
                  <c:v>40543</c:v>
                </c:pt>
                <c:pt idx="48">
                  <c:v>40574</c:v>
                </c:pt>
                <c:pt idx="49">
                  <c:v>40602</c:v>
                </c:pt>
                <c:pt idx="50">
                  <c:v>40633</c:v>
                </c:pt>
                <c:pt idx="51">
                  <c:v>40663</c:v>
                </c:pt>
                <c:pt idx="52">
                  <c:v>40694</c:v>
                </c:pt>
                <c:pt idx="53">
                  <c:v>40724</c:v>
                </c:pt>
                <c:pt idx="54">
                  <c:v>40755</c:v>
                </c:pt>
                <c:pt idx="55">
                  <c:v>40786</c:v>
                </c:pt>
                <c:pt idx="56">
                  <c:v>40816</c:v>
                </c:pt>
                <c:pt idx="57">
                  <c:v>40847</c:v>
                </c:pt>
                <c:pt idx="58">
                  <c:v>40877</c:v>
                </c:pt>
                <c:pt idx="59">
                  <c:v>40908</c:v>
                </c:pt>
                <c:pt idx="60">
                  <c:v>40939</c:v>
                </c:pt>
                <c:pt idx="61">
                  <c:v>40968</c:v>
                </c:pt>
                <c:pt idx="62">
                  <c:v>40999</c:v>
                </c:pt>
                <c:pt idx="63">
                  <c:v>41029</c:v>
                </c:pt>
                <c:pt idx="64">
                  <c:v>41060</c:v>
                </c:pt>
                <c:pt idx="65">
                  <c:v>41090</c:v>
                </c:pt>
                <c:pt idx="66">
                  <c:v>41121</c:v>
                </c:pt>
                <c:pt idx="67">
                  <c:v>41152</c:v>
                </c:pt>
                <c:pt idx="68">
                  <c:v>41182</c:v>
                </c:pt>
                <c:pt idx="69">
                  <c:v>41213</c:v>
                </c:pt>
                <c:pt idx="70">
                  <c:v>41243</c:v>
                </c:pt>
                <c:pt idx="71">
                  <c:v>41274</c:v>
                </c:pt>
                <c:pt idx="72">
                  <c:v>41305</c:v>
                </c:pt>
                <c:pt idx="73">
                  <c:v>41333</c:v>
                </c:pt>
                <c:pt idx="74">
                  <c:v>41364</c:v>
                </c:pt>
                <c:pt idx="75">
                  <c:v>41394</c:v>
                </c:pt>
                <c:pt idx="76">
                  <c:v>41425</c:v>
                </c:pt>
                <c:pt idx="77">
                  <c:v>41455</c:v>
                </c:pt>
                <c:pt idx="78">
                  <c:v>41486</c:v>
                </c:pt>
                <c:pt idx="79">
                  <c:v>41517</c:v>
                </c:pt>
                <c:pt idx="80">
                  <c:v>41547</c:v>
                </c:pt>
                <c:pt idx="81">
                  <c:v>41578</c:v>
                </c:pt>
                <c:pt idx="82">
                  <c:v>41608</c:v>
                </c:pt>
                <c:pt idx="83">
                  <c:v>41639</c:v>
                </c:pt>
                <c:pt idx="84">
                  <c:v>41670</c:v>
                </c:pt>
                <c:pt idx="85">
                  <c:v>41698</c:v>
                </c:pt>
                <c:pt idx="86">
                  <c:v>41729</c:v>
                </c:pt>
                <c:pt idx="87">
                  <c:v>41759</c:v>
                </c:pt>
                <c:pt idx="88">
                  <c:v>41790</c:v>
                </c:pt>
                <c:pt idx="89">
                  <c:v>41820</c:v>
                </c:pt>
                <c:pt idx="90">
                  <c:v>41851</c:v>
                </c:pt>
                <c:pt idx="91">
                  <c:v>41882</c:v>
                </c:pt>
                <c:pt idx="92">
                  <c:v>41912</c:v>
                </c:pt>
                <c:pt idx="93">
                  <c:v>41943</c:v>
                </c:pt>
                <c:pt idx="94">
                  <c:v>41973</c:v>
                </c:pt>
                <c:pt idx="95">
                  <c:v>42004</c:v>
                </c:pt>
                <c:pt idx="96">
                  <c:v>42035</c:v>
                </c:pt>
                <c:pt idx="97">
                  <c:v>42063</c:v>
                </c:pt>
                <c:pt idx="98">
                  <c:v>42094</c:v>
                </c:pt>
                <c:pt idx="99">
                  <c:v>42124</c:v>
                </c:pt>
                <c:pt idx="100">
                  <c:v>42155</c:v>
                </c:pt>
                <c:pt idx="101">
                  <c:v>42185</c:v>
                </c:pt>
                <c:pt idx="102">
                  <c:v>42216</c:v>
                </c:pt>
                <c:pt idx="103">
                  <c:v>42247</c:v>
                </c:pt>
                <c:pt idx="104">
                  <c:v>42277</c:v>
                </c:pt>
                <c:pt idx="105">
                  <c:v>42308</c:v>
                </c:pt>
                <c:pt idx="106">
                  <c:v>42338</c:v>
                </c:pt>
                <c:pt idx="107">
                  <c:v>42369</c:v>
                </c:pt>
                <c:pt idx="108">
                  <c:v>42400</c:v>
                </c:pt>
                <c:pt idx="109">
                  <c:v>42429</c:v>
                </c:pt>
                <c:pt idx="110">
                  <c:v>42460</c:v>
                </c:pt>
                <c:pt idx="111">
                  <c:v>42490</c:v>
                </c:pt>
                <c:pt idx="112">
                  <c:v>42521</c:v>
                </c:pt>
                <c:pt idx="113">
                  <c:v>42551</c:v>
                </c:pt>
                <c:pt idx="114">
                  <c:v>42582</c:v>
                </c:pt>
                <c:pt idx="115">
                  <c:v>42613</c:v>
                </c:pt>
                <c:pt idx="116">
                  <c:v>42643</c:v>
                </c:pt>
                <c:pt idx="117">
                  <c:v>42674</c:v>
                </c:pt>
                <c:pt idx="118">
                  <c:v>42704</c:v>
                </c:pt>
                <c:pt idx="119">
                  <c:v>42735</c:v>
                </c:pt>
                <c:pt idx="120">
                  <c:v>42766</c:v>
                </c:pt>
                <c:pt idx="121">
                  <c:v>42794</c:v>
                </c:pt>
                <c:pt idx="122">
                  <c:v>42825</c:v>
                </c:pt>
                <c:pt idx="123">
                  <c:v>42855</c:v>
                </c:pt>
                <c:pt idx="124">
                  <c:v>42886</c:v>
                </c:pt>
                <c:pt idx="125">
                  <c:v>42916</c:v>
                </c:pt>
                <c:pt idx="126">
                  <c:v>42947</c:v>
                </c:pt>
                <c:pt idx="127">
                  <c:v>42978</c:v>
                </c:pt>
                <c:pt idx="128">
                  <c:v>43008</c:v>
                </c:pt>
                <c:pt idx="129">
                  <c:v>43039</c:v>
                </c:pt>
                <c:pt idx="130">
                  <c:v>43069</c:v>
                </c:pt>
                <c:pt idx="131">
                  <c:v>43100</c:v>
                </c:pt>
                <c:pt idx="132">
                  <c:v>43131</c:v>
                </c:pt>
                <c:pt idx="133">
                  <c:v>43159</c:v>
                </c:pt>
                <c:pt idx="134">
                  <c:v>43190</c:v>
                </c:pt>
                <c:pt idx="135">
                  <c:v>43220</c:v>
                </c:pt>
                <c:pt idx="136">
                  <c:v>43251</c:v>
                </c:pt>
                <c:pt idx="137">
                  <c:v>43281</c:v>
                </c:pt>
              </c:numCache>
            </c:numRef>
          </c:cat>
          <c:val>
            <c:numRef>
              <c:f>Лист1!$D$20:$D$193</c:f>
              <c:numCache>
                <c:formatCode>General</c:formatCode>
                <c:ptCount val="174"/>
                <c:pt idx="0">
                  <c:v>21.7</c:v>
                </c:pt>
                <c:pt idx="1">
                  <c:v>22.3</c:v>
                </c:pt>
                <c:pt idx="2">
                  <c:v>21.2</c:v>
                </c:pt>
                <c:pt idx="3">
                  <c:v>20</c:v>
                </c:pt>
                <c:pt idx="4">
                  <c:v>20.3</c:v>
                </c:pt>
                <c:pt idx="5">
                  <c:v>18.899999999999999</c:v>
                </c:pt>
                <c:pt idx="6">
                  <c:v>20.3</c:v>
                </c:pt>
                <c:pt idx="7">
                  <c:v>20.8</c:v>
                </c:pt>
                <c:pt idx="8">
                  <c:v>20.8</c:v>
                </c:pt>
                <c:pt idx="9">
                  <c:v>20.2</c:v>
                </c:pt>
                <c:pt idx="10">
                  <c:v>21</c:v>
                </c:pt>
                <c:pt idx="11">
                  <c:v>20.9</c:v>
                </c:pt>
                <c:pt idx="12">
                  <c:v>21.3</c:v>
                </c:pt>
                <c:pt idx="13">
                  <c:v>21.5</c:v>
                </c:pt>
                <c:pt idx="14">
                  <c:v>21.4</c:v>
                </c:pt>
                <c:pt idx="15">
                  <c:v>20.2</c:v>
                </c:pt>
                <c:pt idx="16">
                  <c:v>20.8</c:v>
                </c:pt>
                <c:pt idx="17">
                  <c:v>19.2</c:v>
                </c:pt>
                <c:pt idx="18">
                  <c:v>20.5</c:v>
                </c:pt>
                <c:pt idx="19">
                  <c:v>20.9</c:v>
                </c:pt>
                <c:pt idx="20">
                  <c:v>21.4</c:v>
                </c:pt>
                <c:pt idx="21">
                  <c:v>22.3</c:v>
                </c:pt>
                <c:pt idx="22">
                  <c:v>23.3</c:v>
                </c:pt>
                <c:pt idx="23">
                  <c:v>23.6</c:v>
                </c:pt>
                <c:pt idx="24">
                  <c:v>23.1</c:v>
                </c:pt>
                <c:pt idx="25">
                  <c:v>23.8</c:v>
                </c:pt>
                <c:pt idx="26">
                  <c:v>24.4</c:v>
                </c:pt>
                <c:pt idx="27">
                  <c:v>22.7</c:v>
                </c:pt>
                <c:pt idx="28">
                  <c:v>23.6</c:v>
                </c:pt>
                <c:pt idx="29">
                  <c:v>21.9</c:v>
                </c:pt>
                <c:pt idx="30">
                  <c:v>23</c:v>
                </c:pt>
                <c:pt idx="31">
                  <c:v>23.6</c:v>
                </c:pt>
                <c:pt idx="32">
                  <c:v>23.7</c:v>
                </c:pt>
                <c:pt idx="33">
                  <c:v>22.6</c:v>
                </c:pt>
                <c:pt idx="34">
                  <c:v>23.9</c:v>
                </c:pt>
                <c:pt idx="35">
                  <c:v>25</c:v>
                </c:pt>
                <c:pt idx="36">
                  <c:v>25</c:v>
                </c:pt>
                <c:pt idx="37">
                  <c:v>25.8</c:v>
                </c:pt>
                <c:pt idx="38">
                  <c:v>24.8</c:v>
                </c:pt>
                <c:pt idx="39">
                  <c:v>23.2</c:v>
                </c:pt>
                <c:pt idx="40">
                  <c:v>24.5</c:v>
                </c:pt>
                <c:pt idx="41">
                  <c:v>22.9</c:v>
                </c:pt>
                <c:pt idx="42">
                  <c:v>23.7</c:v>
                </c:pt>
                <c:pt idx="43">
                  <c:v>24.8</c:v>
                </c:pt>
                <c:pt idx="44">
                  <c:v>24.3</c:v>
                </c:pt>
                <c:pt idx="45">
                  <c:v>24.3</c:v>
                </c:pt>
                <c:pt idx="46">
                  <c:v>25.4</c:v>
                </c:pt>
                <c:pt idx="47">
                  <c:v>25.7</c:v>
                </c:pt>
                <c:pt idx="48">
                  <c:v>25.6</c:v>
                </c:pt>
                <c:pt idx="49">
                  <c:v>26</c:v>
                </c:pt>
                <c:pt idx="50">
                  <c:v>28.6</c:v>
                </c:pt>
                <c:pt idx="51">
                  <c:v>27</c:v>
                </c:pt>
                <c:pt idx="52">
                  <c:v>27.2</c:v>
                </c:pt>
                <c:pt idx="53">
                  <c:v>26.1</c:v>
                </c:pt>
                <c:pt idx="54">
                  <c:v>27.2</c:v>
                </c:pt>
                <c:pt idx="55">
                  <c:v>28.6</c:v>
                </c:pt>
                <c:pt idx="56">
                  <c:v>28.1</c:v>
                </c:pt>
                <c:pt idx="57">
                  <c:v>27</c:v>
                </c:pt>
                <c:pt idx="58">
                  <c:v>29.1</c:v>
                </c:pt>
                <c:pt idx="59">
                  <c:v>29.1</c:v>
                </c:pt>
                <c:pt idx="60">
                  <c:v>27.8</c:v>
                </c:pt>
                <c:pt idx="61">
                  <c:v>29.2</c:v>
                </c:pt>
                <c:pt idx="62">
                  <c:v>28.3</c:v>
                </c:pt>
                <c:pt idx="63">
                  <c:v>28.5</c:v>
                </c:pt>
                <c:pt idx="64">
                  <c:v>28.8</c:v>
                </c:pt>
                <c:pt idx="65">
                  <c:v>28.9</c:v>
                </c:pt>
                <c:pt idx="66">
                  <c:v>29.3</c:v>
                </c:pt>
                <c:pt idx="67">
                  <c:v>30.2</c:v>
                </c:pt>
                <c:pt idx="68">
                  <c:v>30.4</c:v>
                </c:pt>
                <c:pt idx="69">
                  <c:v>31</c:v>
                </c:pt>
                <c:pt idx="70">
                  <c:v>31.6</c:v>
                </c:pt>
                <c:pt idx="71">
                  <c:v>32</c:v>
                </c:pt>
                <c:pt idx="72">
                  <c:v>32.299999999999997</c:v>
                </c:pt>
                <c:pt idx="73">
                  <c:v>33.1</c:v>
                </c:pt>
                <c:pt idx="74">
                  <c:v>33.200000000000003</c:v>
                </c:pt>
                <c:pt idx="75">
                  <c:v>35.299999999999997</c:v>
                </c:pt>
                <c:pt idx="76">
                  <c:v>37.200000000000003</c:v>
                </c:pt>
                <c:pt idx="77">
                  <c:v>37.700000000000003</c:v>
                </c:pt>
                <c:pt idx="78">
                  <c:v>39.6</c:v>
                </c:pt>
                <c:pt idx="79">
                  <c:v>41.3</c:v>
                </c:pt>
                <c:pt idx="80">
                  <c:v>41.7</c:v>
                </c:pt>
                <c:pt idx="81">
                  <c:v>43</c:v>
                </c:pt>
                <c:pt idx="82">
                  <c:v>44.6</c:v>
                </c:pt>
                <c:pt idx="83">
                  <c:v>44.6</c:v>
                </c:pt>
                <c:pt idx="84">
                  <c:v>46</c:v>
                </c:pt>
                <c:pt idx="85">
                  <c:v>47.5</c:v>
                </c:pt>
                <c:pt idx="86">
                  <c:v>47.5</c:v>
                </c:pt>
                <c:pt idx="87">
                  <c:v>48.4</c:v>
                </c:pt>
                <c:pt idx="88">
                  <c:v>49.9</c:v>
                </c:pt>
                <c:pt idx="89">
                  <c:v>50.6</c:v>
                </c:pt>
                <c:pt idx="90">
                  <c:v>52.7</c:v>
                </c:pt>
                <c:pt idx="91">
                  <c:v>54</c:v>
                </c:pt>
                <c:pt idx="92">
                  <c:v>54</c:v>
                </c:pt>
                <c:pt idx="93">
                  <c:v>56</c:v>
                </c:pt>
                <c:pt idx="94">
                  <c:v>58</c:v>
                </c:pt>
                <c:pt idx="95">
                  <c:v>58.4</c:v>
                </c:pt>
                <c:pt idx="96">
                  <c:v>60.4</c:v>
                </c:pt>
                <c:pt idx="97">
                  <c:v>62</c:v>
                </c:pt>
                <c:pt idx="98">
                  <c:v>62.2</c:v>
                </c:pt>
                <c:pt idx="99">
                  <c:v>64</c:v>
                </c:pt>
                <c:pt idx="100">
                  <c:v>65.8</c:v>
                </c:pt>
                <c:pt idx="101">
                  <c:v>66</c:v>
                </c:pt>
                <c:pt idx="102">
                  <c:v>67.5</c:v>
                </c:pt>
                <c:pt idx="103">
                  <c:v>68.599999999999994</c:v>
                </c:pt>
                <c:pt idx="104">
                  <c:v>69.2</c:v>
                </c:pt>
                <c:pt idx="105">
                  <c:v>70.5</c:v>
                </c:pt>
                <c:pt idx="106">
                  <c:v>71.8</c:v>
                </c:pt>
                <c:pt idx="107">
                  <c:v>72</c:v>
                </c:pt>
                <c:pt idx="108">
                  <c:v>74.400000000000006</c:v>
                </c:pt>
                <c:pt idx="109">
                  <c:v>75.7</c:v>
                </c:pt>
                <c:pt idx="110">
                  <c:v>75.900000000000006</c:v>
                </c:pt>
                <c:pt idx="111">
                  <c:v>77.5</c:v>
                </c:pt>
                <c:pt idx="112">
                  <c:v>79.599999999999994</c:v>
                </c:pt>
                <c:pt idx="113">
                  <c:v>80.8</c:v>
                </c:pt>
                <c:pt idx="114">
                  <c:v>82.7</c:v>
                </c:pt>
                <c:pt idx="115">
                  <c:v>84.5</c:v>
                </c:pt>
                <c:pt idx="116">
                  <c:v>85.2</c:v>
                </c:pt>
                <c:pt idx="117">
                  <c:v>86.3</c:v>
                </c:pt>
                <c:pt idx="118">
                  <c:v>87.6</c:v>
                </c:pt>
                <c:pt idx="119">
                  <c:v>88.5</c:v>
                </c:pt>
                <c:pt idx="120">
                  <c:v>89.5</c:v>
                </c:pt>
                <c:pt idx="121">
                  <c:v>90.5</c:v>
                </c:pt>
                <c:pt idx="122">
                  <c:v>90.9</c:v>
                </c:pt>
                <c:pt idx="123">
                  <c:v>92.2</c:v>
                </c:pt>
                <c:pt idx="124">
                  <c:v>92.7</c:v>
                </c:pt>
                <c:pt idx="125">
                  <c:v>92.8</c:v>
                </c:pt>
                <c:pt idx="126">
                  <c:v>93.3</c:v>
                </c:pt>
                <c:pt idx="127">
                  <c:v>94.2</c:v>
                </c:pt>
                <c:pt idx="128">
                  <c:v>94.4</c:v>
                </c:pt>
                <c:pt idx="129">
                  <c:v>95.1</c:v>
                </c:pt>
                <c:pt idx="130">
                  <c:v>95.6</c:v>
                </c:pt>
                <c:pt idx="131">
                  <c:v>95.4</c:v>
                </c:pt>
                <c:pt idx="132">
                  <c:v>96.2</c:v>
                </c:pt>
                <c:pt idx="133">
                  <c:v>97.3</c:v>
                </c:pt>
                <c:pt idx="134">
                  <c:v>96.3</c:v>
                </c:pt>
                <c:pt idx="135">
                  <c:v>97.4</c:v>
                </c:pt>
                <c:pt idx="136">
                  <c:v>98.3</c:v>
                </c:pt>
                <c:pt idx="137">
                  <c:v>98.3</c:v>
                </c:pt>
              </c:numCache>
            </c:numRef>
          </c:val>
          <c:smooth val="0"/>
          <c:extLst xmlns:c16r2="http://schemas.microsoft.com/office/drawing/2015/06/chart">
            <c:ext xmlns:c16="http://schemas.microsoft.com/office/drawing/2014/chart" uri="{C3380CC4-5D6E-409C-BE32-E72D297353CC}">
              <c16:uniqueId val="{00000003-34FF-466D-83C8-BB90B4410CD3}"/>
            </c:ext>
          </c:extLst>
        </c:ser>
        <c:dLbls>
          <c:showLegendKey val="0"/>
          <c:showVal val="0"/>
          <c:showCatName val="0"/>
          <c:showSerName val="0"/>
          <c:showPercent val="0"/>
          <c:showBubbleSize val="0"/>
        </c:dLbls>
        <c:marker val="1"/>
        <c:smooth val="0"/>
        <c:axId val="40851968"/>
        <c:axId val="225349568"/>
      </c:lineChart>
      <c:dateAx>
        <c:axId val="90418688"/>
        <c:scaling>
          <c:orientation val="minMax"/>
        </c:scaling>
        <c:delete val="0"/>
        <c:axPos val="b"/>
        <c:numFmt formatCode="mmm\'yy" sourceLinked="0"/>
        <c:majorTickMark val="out"/>
        <c:minorTickMark val="none"/>
        <c:tickLblPos val="low"/>
        <c:spPr>
          <a:ln w="9525" cap="flat" cmpd="sng" algn="ctr">
            <a:solidFill>
              <a:sysClr val="windowText" lastClr="000000">
                <a:lumMod val="100000"/>
              </a:sysClr>
            </a:solidFill>
            <a:prstDash val="solid"/>
            <a:round/>
            <a:headEnd type="none" w="med" len="med"/>
            <a:tailEnd type="none" w="med" len="med"/>
          </a:ln>
        </c:spPr>
        <c:txPr>
          <a:bodyPr rot="0" vert="horz"/>
          <a:lstStyle/>
          <a:p>
            <a:pPr>
              <a:defRPr/>
            </a:pPr>
            <a:endParaRPr lang="ru-RU"/>
          </a:p>
        </c:txPr>
        <c:crossAx val="225348992"/>
        <c:crosses val="autoZero"/>
        <c:auto val="1"/>
        <c:lblOffset val="100"/>
        <c:baseTimeUnit val="months"/>
      </c:dateAx>
      <c:valAx>
        <c:axId val="225348992"/>
        <c:scaling>
          <c:orientation val="minMax"/>
        </c:scaling>
        <c:delete val="0"/>
        <c:axPos val="l"/>
        <c:numFmt formatCode="0" sourceLinked="0"/>
        <c:majorTickMark val="out"/>
        <c:minorTickMark val="none"/>
        <c:tickLblPos val="nextTo"/>
        <c:spPr>
          <a:ln w="9525" cap="flat" cmpd="sng" algn="ctr">
            <a:solidFill>
              <a:sysClr val="windowText" lastClr="000000">
                <a:lumMod val="100000"/>
              </a:sysClr>
            </a:solidFill>
            <a:prstDash val="solid"/>
            <a:round/>
            <a:headEnd type="none" w="med" len="med"/>
            <a:tailEnd type="none" w="med" len="med"/>
          </a:ln>
        </c:spPr>
        <c:crossAx val="90418688"/>
        <c:crosses val="autoZero"/>
        <c:crossBetween val="between"/>
      </c:valAx>
      <c:valAx>
        <c:axId val="225349568"/>
        <c:scaling>
          <c:orientation val="minMax"/>
        </c:scaling>
        <c:delete val="0"/>
        <c:axPos val="r"/>
        <c:numFmt formatCode="0" sourceLinked="0"/>
        <c:majorTickMark val="out"/>
        <c:minorTickMark val="none"/>
        <c:tickLblPos val="nextTo"/>
        <c:crossAx val="40851968"/>
        <c:crosses val="max"/>
        <c:crossBetween val="between"/>
      </c:valAx>
      <c:dateAx>
        <c:axId val="40851968"/>
        <c:scaling>
          <c:orientation val="minMax"/>
        </c:scaling>
        <c:delete val="1"/>
        <c:axPos val="b"/>
        <c:numFmt formatCode="m/d/yyyy" sourceLinked="1"/>
        <c:majorTickMark val="out"/>
        <c:minorTickMark val="none"/>
        <c:tickLblPos val="nextTo"/>
        <c:crossAx val="225349568"/>
        <c:crosses val="autoZero"/>
        <c:auto val="1"/>
        <c:lblOffset val="100"/>
        <c:baseTimeUnit val="months"/>
      </c:dateAx>
      <c:spPr>
        <a:noFill/>
      </c:spPr>
    </c:plotArea>
    <c:legend>
      <c:legendPos val="b"/>
      <c:layout>
        <c:manualLayout>
          <c:xMode val="edge"/>
          <c:yMode val="edge"/>
          <c:x val="0"/>
          <c:y val="0.8921325459317585"/>
          <c:w val="1"/>
          <c:h val="0.10323782443861185"/>
        </c:manualLayout>
      </c:layout>
      <c:overlay val="0"/>
    </c:legend>
    <c:plotVisOnly val="1"/>
    <c:dispBlanksAs val="gap"/>
    <c:showDLblsOverMax val="0"/>
  </c:chart>
  <c:spPr>
    <a:noFill/>
    <a:ln w="9525">
      <a:noFill/>
    </a:ln>
  </c:spPr>
  <c:txPr>
    <a:bodyPr/>
    <a:lstStyle/>
    <a:p>
      <a:pPr>
        <a:defRPr sz="700">
          <a:latin typeface="Century"/>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0.33796</cdr:x>
      <cdr:y>0.19243</cdr:y>
    </cdr:from>
    <cdr:to>
      <cdr:x>0.71858</cdr:x>
      <cdr:y>0.37795</cdr:y>
    </cdr:to>
    <cdr:sp macro="" textlink="">
      <cdr:nvSpPr>
        <cdr:cNvPr id="2" name="Поле 1"/>
        <cdr:cNvSpPr txBox="1"/>
      </cdr:nvSpPr>
      <cdr:spPr>
        <a:xfrm xmlns:a="http://schemas.openxmlformats.org/drawingml/2006/main">
          <a:off x="1055855" y="465556"/>
          <a:ext cx="1189133" cy="4488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900" b="1">
              <a:solidFill>
                <a:schemeClr val="bg2">
                  <a:lumMod val="50000"/>
                </a:schemeClr>
              </a:solidFill>
              <a:latin typeface="Century" panose="02040604050505020304" pitchFamily="18" charset="0"/>
            </a:rPr>
            <a:t>без бюджетного правила</a:t>
          </a:r>
        </a:p>
      </cdr:txBody>
    </cdr:sp>
  </cdr:relSizeAnchor>
</c:userShapes>
</file>

<file path=word/drawings/drawing2.xml><?xml version="1.0" encoding="utf-8"?>
<c:userShapes xmlns:c="http://schemas.openxmlformats.org/drawingml/2006/chart">
  <cdr:relSizeAnchor xmlns:cdr="http://schemas.openxmlformats.org/drawingml/2006/chartDrawing">
    <cdr:from>
      <cdr:x>0.32902</cdr:x>
      <cdr:y>0.41591</cdr:y>
    </cdr:from>
    <cdr:to>
      <cdr:x>1</cdr:x>
      <cdr:y>0.63532</cdr:y>
    </cdr:to>
    <cdr:sp macro="" textlink="">
      <cdr:nvSpPr>
        <cdr:cNvPr id="2" name="Овал 1"/>
        <cdr:cNvSpPr/>
      </cdr:nvSpPr>
      <cdr:spPr>
        <a:xfrm xmlns:a="http://schemas.openxmlformats.org/drawingml/2006/main">
          <a:off x="988437" y="997527"/>
          <a:ext cx="2015748" cy="526229"/>
        </a:xfrm>
        <a:prstGeom xmlns:a="http://schemas.openxmlformats.org/drawingml/2006/main" prst="ellipse">
          <a:avLst/>
        </a:prstGeom>
        <a:noFill xmlns:a="http://schemas.openxmlformats.org/drawingml/2006/main"/>
        <a:ln xmlns:a="http://schemas.openxmlformats.org/drawingml/2006/main" w="9525">
          <a:solidFill>
            <a:srgbClr val="005A36"/>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0.09976</cdr:x>
      <cdr:y>0.38704</cdr:y>
    </cdr:from>
    <cdr:to>
      <cdr:x>1</cdr:x>
      <cdr:y>0.581</cdr:y>
    </cdr:to>
    <cdr:sp macro="" textlink="">
      <cdr:nvSpPr>
        <cdr:cNvPr id="3" name="Овал 2"/>
        <cdr:cNvSpPr/>
      </cdr:nvSpPr>
      <cdr:spPr>
        <a:xfrm xmlns:a="http://schemas.openxmlformats.org/drawingml/2006/main" rot="2154564">
          <a:off x="359544" y="928276"/>
          <a:ext cx="2704475" cy="465200"/>
        </a:xfrm>
        <a:prstGeom xmlns:a="http://schemas.openxmlformats.org/drawingml/2006/main" prst="ellipse">
          <a:avLst/>
        </a:prstGeom>
        <a:noFill xmlns:a="http://schemas.openxmlformats.org/drawingml/2006/main"/>
        <a:ln xmlns:a="http://schemas.openxmlformats.org/drawingml/2006/main" w="12700">
          <a:solidFill>
            <a:schemeClr val="bg1">
              <a:lumMod val="50000"/>
            </a:schemeClr>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drawings/drawing3.xml><?xml version="1.0" encoding="utf-8"?>
<c:userShapes xmlns:c="http://schemas.openxmlformats.org/drawingml/2006/chart">
  <cdr:relSizeAnchor xmlns:cdr="http://schemas.openxmlformats.org/drawingml/2006/chartDrawing">
    <cdr:from>
      <cdr:x>0.16803</cdr:x>
      <cdr:y>0.37081</cdr:y>
    </cdr:from>
    <cdr:to>
      <cdr:x>0.24121</cdr:x>
      <cdr:y>0.53305</cdr:y>
    </cdr:to>
    <cdr:cxnSp macro="">
      <cdr:nvCxnSpPr>
        <cdr:cNvPr id="2" name="Прямая со стрелкой 1">
          <a:extLst xmlns:a="http://schemas.openxmlformats.org/drawingml/2006/main">
            <a:ext uri="{FF2B5EF4-FFF2-40B4-BE49-F238E27FC236}">
              <a16:creationId xmlns:a16="http://schemas.microsoft.com/office/drawing/2014/main" xmlns="" id="{C7635D1D-CA49-A948-8311-C585A4EDEB63}"/>
            </a:ext>
          </a:extLst>
        </cdr:cNvPr>
        <cdr:cNvCxnSpPr/>
      </cdr:nvCxnSpPr>
      <cdr:spPr>
        <a:xfrm xmlns:a="http://schemas.openxmlformats.org/drawingml/2006/main" flipH="1">
          <a:off x="746240" y="959737"/>
          <a:ext cx="325009" cy="419925"/>
        </a:xfrm>
        <a:prstGeom xmlns:a="http://schemas.openxmlformats.org/drawingml/2006/main" prst="straightConnector1">
          <a:avLst/>
        </a:prstGeom>
        <a:ln xmlns:a="http://schemas.openxmlformats.org/drawingml/2006/main">
          <a:solidFill>
            <a:schemeClr val="tx1"/>
          </a:solidFill>
          <a:tailEnd type="stealt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0.3471</cdr:x>
      <cdr:y>0.3237</cdr:y>
    </cdr:from>
    <cdr:to>
      <cdr:x>0.47652</cdr:x>
      <cdr:y>0.49054</cdr:y>
    </cdr:to>
    <cdr:cxnSp macro="">
      <cdr:nvCxnSpPr>
        <cdr:cNvPr id="4" name="Прямая со стрелкой 3">
          <a:extLst xmlns:a="http://schemas.openxmlformats.org/drawingml/2006/main">
            <a:ext uri="{FF2B5EF4-FFF2-40B4-BE49-F238E27FC236}">
              <a16:creationId xmlns:a16="http://schemas.microsoft.com/office/drawing/2014/main" xmlns="" id="{07B51567-6203-E74D-95AF-746D276B741C}"/>
            </a:ext>
          </a:extLst>
        </cdr:cNvPr>
        <cdr:cNvCxnSpPr/>
      </cdr:nvCxnSpPr>
      <cdr:spPr>
        <a:xfrm xmlns:a="http://schemas.openxmlformats.org/drawingml/2006/main" flipH="1">
          <a:off x="1541512" y="837817"/>
          <a:ext cx="574765" cy="431819"/>
        </a:xfrm>
        <a:prstGeom xmlns:a="http://schemas.openxmlformats.org/drawingml/2006/main" prst="straightConnector1">
          <a:avLst/>
        </a:prstGeom>
        <a:ln xmlns:a="http://schemas.openxmlformats.org/drawingml/2006/main">
          <a:solidFill>
            <a:schemeClr val="tx1"/>
          </a:solidFill>
          <a:tailEnd type="stealt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0.69614</cdr:x>
      <cdr:y>0.24968</cdr:y>
    </cdr:from>
    <cdr:to>
      <cdr:x>0.73431</cdr:x>
      <cdr:y>0.36494</cdr:y>
    </cdr:to>
    <cdr:cxnSp macro="">
      <cdr:nvCxnSpPr>
        <cdr:cNvPr id="6" name="Прямая со стрелкой 5">
          <a:extLst xmlns:a="http://schemas.openxmlformats.org/drawingml/2006/main">
            <a:ext uri="{FF2B5EF4-FFF2-40B4-BE49-F238E27FC236}">
              <a16:creationId xmlns:a16="http://schemas.microsoft.com/office/drawing/2014/main" xmlns="" id="{00007BEB-F928-9540-8743-3E5E1408AB61}"/>
            </a:ext>
          </a:extLst>
        </cdr:cNvPr>
        <cdr:cNvCxnSpPr/>
      </cdr:nvCxnSpPr>
      <cdr:spPr>
        <a:xfrm xmlns:a="http://schemas.openxmlformats.org/drawingml/2006/main">
          <a:off x="3091637" y="646229"/>
          <a:ext cx="169511" cy="298324"/>
        </a:xfrm>
        <a:prstGeom xmlns:a="http://schemas.openxmlformats.org/drawingml/2006/main" prst="straightConnector1">
          <a:avLst/>
        </a:prstGeom>
        <a:ln xmlns:a="http://schemas.openxmlformats.org/drawingml/2006/main">
          <a:solidFill>
            <a:schemeClr val="tx1"/>
          </a:solidFill>
          <a:tailEnd type="stealt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0.09206</cdr:x>
      <cdr:y>0.17598</cdr:y>
    </cdr:from>
    <cdr:to>
      <cdr:x>0.36013</cdr:x>
      <cdr:y>0.33469</cdr:y>
    </cdr:to>
    <cdr:sp macro="" textlink="">
      <cdr:nvSpPr>
        <cdr:cNvPr id="2" name="TextBox 1"/>
        <cdr:cNvSpPr txBox="1"/>
      </cdr:nvSpPr>
      <cdr:spPr>
        <a:xfrm xmlns:a="http://schemas.openxmlformats.org/drawingml/2006/main">
          <a:off x="276225" y="410668"/>
          <a:ext cx="804294" cy="370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900" b="1" dirty="0">
              <a:solidFill>
                <a:srgbClr val="00602B"/>
              </a:solidFill>
              <a:latin typeface="Century" panose="02040604050505020304" pitchFamily="18" charset="0"/>
            </a:rPr>
            <a:t>2019 </a:t>
          </a:r>
        </a:p>
        <a:p xmlns:a="http://schemas.openxmlformats.org/drawingml/2006/main">
          <a:pPr algn="ctr"/>
          <a:r>
            <a:rPr lang="ru-RU" sz="800" b="1" dirty="0">
              <a:solidFill>
                <a:srgbClr val="00602B"/>
              </a:solidFill>
              <a:latin typeface="Century" panose="02040604050505020304" pitchFamily="18" charset="0"/>
            </a:rPr>
            <a:t>(</a:t>
          </a:r>
          <a:r>
            <a:rPr lang="ru-RU" sz="800" b="1" i="1" dirty="0">
              <a:solidFill>
                <a:srgbClr val="00602B"/>
              </a:solidFill>
              <a:latin typeface="Century" panose="02040604050505020304" pitchFamily="18" charset="0"/>
            </a:rPr>
            <a:t>цель</a:t>
          </a:r>
          <a:r>
            <a:rPr lang="ru-RU" sz="800" b="1" dirty="0">
              <a:solidFill>
                <a:srgbClr val="00602B"/>
              </a:solidFill>
              <a:latin typeface="Century" panose="02040604050505020304" pitchFamily="18" charset="0"/>
            </a:rPr>
            <a:t>)</a:t>
          </a:r>
        </a:p>
      </cdr:txBody>
    </cdr:sp>
  </cdr:relSizeAnchor>
  <cdr:relSizeAnchor xmlns:cdr="http://schemas.openxmlformats.org/drawingml/2006/chartDrawing">
    <cdr:from>
      <cdr:x>0.1746</cdr:x>
      <cdr:y>0.32245</cdr:y>
    </cdr:from>
    <cdr:to>
      <cdr:x>0.31579</cdr:x>
      <cdr:y>0.34775</cdr:y>
    </cdr:to>
    <cdr:cxnSp macro="">
      <cdr:nvCxnSpPr>
        <cdr:cNvPr id="3" name="Прямая со стрелкой 2">
          <a:extLst xmlns:a="http://schemas.openxmlformats.org/drawingml/2006/main">
            <a:ext uri="{FF2B5EF4-FFF2-40B4-BE49-F238E27FC236}">
              <a16:creationId xmlns:a16="http://schemas.microsoft.com/office/drawing/2014/main" xmlns="" id="{CFF651BA-7157-4D99-A6A5-E2084C59758D}"/>
            </a:ext>
          </a:extLst>
        </cdr:cNvPr>
        <cdr:cNvCxnSpPr>
          <a:cxnSpLocks xmlns:a="http://schemas.openxmlformats.org/drawingml/2006/main"/>
        </cdr:cNvCxnSpPr>
      </cdr:nvCxnSpPr>
      <cdr:spPr>
        <a:xfrm xmlns:a="http://schemas.openxmlformats.org/drawingml/2006/main" flipH="1" flipV="1">
          <a:off x="523875" y="752475"/>
          <a:ext cx="423613" cy="59044"/>
        </a:xfrm>
        <a:prstGeom xmlns:a="http://schemas.openxmlformats.org/drawingml/2006/main" prst="straightConnector1">
          <a:avLst/>
        </a:prstGeom>
        <a:ln xmlns:a="http://schemas.openxmlformats.org/drawingml/2006/main" w="15875">
          <a:solidFill>
            <a:srgbClr val="00602B"/>
          </a:solidFill>
          <a:prstDash val="dash"/>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0.09804</cdr:x>
      <cdr:y>0.02112</cdr:y>
    </cdr:from>
    <cdr:to>
      <cdr:x>0.29972</cdr:x>
      <cdr:y>0.10525</cdr:y>
    </cdr:to>
    <cdr:sp macro="" textlink="">
      <cdr:nvSpPr>
        <cdr:cNvPr id="2" name="TextBox 1"/>
        <cdr:cNvSpPr txBox="1"/>
      </cdr:nvSpPr>
      <cdr:spPr>
        <a:xfrm xmlns:a="http://schemas.openxmlformats.org/drawingml/2006/main">
          <a:off x="333376" y="68801"/>
          <a:ext cx="685800" cy="2740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r>
            <a:rPr lang="ru-RU" sz="800" b="0" i="0" dirty="0" smtClean="0">
              <a:latin typeface="Century" panose="02040604050505020304" pitchFamily="18" charset="0"/>
            </a:rPr>
            <a:t>трлн. </a:t>
          </a:r>
          <a:r>
            <a:rPr lang="ru-RU" sz="800" b="0" i="0" dirty="0" err="1" smtClean="0">
              <a:latin typeface="Century" panose="02040604050505020304" pitchFamily="18" charset="0"/>
            </a:rPr>
            <a:t>руб</a:t>
          </a:r>
          <a:endParaRPr lang="en-US" sz="800" b="0" i="0" dirty="0">
            <a:latin typeface="Century" panose="02040604050505020304" pitchFamily="18" charset="0"/>
          </a:endParaRPr>
        </a:p>
        <a:p xmlns:a="http://schemas.openxmlformats.org/drawingml/2006/main">
          <a:endParaRPr lang="ru-RU" sz="800" i="0" dirty="0"/>
        </a:p>
      </cdr:txBody>
    </cdr:sp>
  </cdr:relSizeAnchor>
</c:userShapes>
</file>

<file path=word/drawings/drawing6.xml><?xml version="1.0" encoding="utf-8"?>
<c:userShapes xmlns:c="http://schemas.openxmlformats.org/drawingml/2006/chart">
  <cdr:relSizeAnchor xmlns:cdr="http://schemas.openxmlformats.org/drawingml/2006/chartDrawing">
    <cdr:from>
      <cdr:x>0.94262</cdr:x>
      <cdr:y>0.07994</cdr:y>
    </cdr:from>
    <cdr:to>
      <cdr:x>0.94262</cdr:x>
      <cdr:y>0.28596</cdr:y>
    </cdr:to>
    <cdr:cxnSp macro="">
      <cdr:nvCxnSpPr>
        <cdr:cNvPr id="3" name="Прямая со стрелкой 2"/>
        <cdr:cNvCxnSpPr/>
      </cdr:nvCxnSpPr>
      <cdr:spPr>
        <a:xfrm xmlns:a="http://schemas.openxmlformats.org/drawingml/2006/main" flipV="1">
          <a:off x="3531538" y="197964"/>
          <a:ext cx="0" cy="510208"/>
        </a:xfrm>
        <a:prstGeom xmlns:a="http://schemas.openxmlformats.org/drawingml/2006/main" prst="straightConnector1">
          <a:avLst/>
        </a:prstGeom>
        <a:ln xmlns:a="http://schemas.openxmlformats.org/drawingml/2006/main">
          <a:solidFill>
            <a:schemeClr val="bg1">
              <a:lumMod val="65000"/>
            </a:schemeClr>
          </a:solidFill>
          <a:prstDash val="sysDash"/>
          <a:headEnd type="arrow"/>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0.11156</cdr:x>
      <cdr:y>0.55736</cdr:y>
    </cdr:from>
    <cdr:to>
      <cdr:x>0.56988</cdr:x>
      <cdr:y>0.74486</cdr:y>
    </cdr:to>
    <cdr:sp macro="" textlink="">
      <cdr:nvSpPr>
        <cdr:cNvPr id="2" name="TextBox 1"/>
        <cdr:cNvSpPr txBox="1"/>
      </cdr:nvSpPr>
      <cdr:spPr>
        <a:xfrm xmlns:a="http://schemas.openxmlformats.org/drawingml/2006/main">
          <a:off x="341735" y="1508776"/>
          <a:ext cx="1403938" cy="5075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800" baseline="0">
              <a:solidFill>
                <a:schemeClr val="bg1">
                  <a:lumMod val="50000"/>
                </a:schemeClr>
              </a:solidFill>
              <a:latin typeface="Century" panose="02040604050505020304" pitchFamily="18" charset="0"/>
            </a:rPr>
            <a:t>Арабская весна, </a:t>
          </a:r>
          <a:br>
            <a:rPr lang="ru-RU" sz="800" baseline="0">
              <a:solidFill>
                <a:schemeClr val="bg1">
                  <a:lumMod val="50000"/>
                </a:schemeClr>
              </a:solidFill>
              <a:latin typeface="Century" panose="02040604050505020304" pitchFamily="18" charset="0"/>
            </a:rPr>
          </a:br>
          <a:r>
            <a:rPr lang="ru-RU" sz="800" baseline="0">
              <a:solidFill>
                <a:schemeClr val="bg1">
                  <a:lumMod val="50000"/>
                </a:schemeClr>
              </a:solidFill>
              <a:latin typeface="Century" panose="02040604050505020304" pitchFamily="18" charset="0"/>
            </a:rPr>
            <a:t>санкции против Ирана </a:t>
          </a:r>
          <a:endParaRPr lang="ru-RU" sz="800">
            <a:solidFill>
              <a:schemeClr val="bg1">
                <a:lumMod val="50000"/>
              </a:schemeClr>
            </a:solidFill>
            <a:latin typeface="Century" panose="02040604050505020304" pitchFamily="18"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0.24172</cdr:x>
      <cdr:y>0.00943</cdr:y>
    </cdr:from>
    <cdr:to>
      <cdr:x>0.73819</cdr:x>
      <cdr:y>0.15226</cdr:y>
    </cdr:to>
    <cdr:sp macro="" textlink="">
      <cdr:nvSpPr>
        <cdr:cNvPr id="2" name="TextBox 1"/>
        <cdr:cNvSpPr txBox="1"/>
      </cdr:nvSpPr>
      <cdr:spPr>
        <a:xfrm xmlns:a="http://schemas.openxmlformats.org/drawingml/2006/main">
          <a:off x="668303" y="22011"/>
          <a:ext cx="1372637" cy="3332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r>
            <a:rPr lang="ru-RU" sz="600" b="1" dirty="0">
              <a:latin typeface="Century" pitchFamily="18" charset="0"/>
              <a:cs typeface="Times New Roman" pitchFamily="18" charset="0"/>
            </a:rPr>
            <a:t>Данные</a:t>
          </a:r>
          <a:r>
            <a:rPr lang="ru-RU" sz="600" b="1" baseline="0" dirty="0">
              <a:latin typeface="Century" pitchFamily="18" charset="0"/>
              <a:cs typeface="Times New Roman" pitchFamily="18" charset="0"/>
            </a:rPr>
            <a:t> за период 1981-2014</a:t>
          </a:r>
          <a:endParaRPr lang="en-US" sz="600" b="1" dirty="0">
            <a:latin typeface="Century" pitchFamily="18" charset="0"/>
            <a:cs typeface="Times New Roman" pitchFamily="18" charset="0"/>
          </a:endParaRPr>
        </a:p>
      </cdr:txBody>
    </cdr:sp>
  </cdr:relSizeAnchor>
  <cdr:relSizeAnchor xmlns:cdr="http://schemas.openxmlformats.org/drawingml/2006/chartDrawing">
    <cdr:from>
      <cdr:x>0</cdr:x>
      <cdr:y>0</cdr:y>
    </cdr:from>
    <cdr:to>
      <cdr:x>0.0643</cdr:x>
      <cdr:y>0.34289</cdr:y>
    </cdr:to>
    <cdr:sp macro="" textlink="">
      <cdr:nvSpPr>
        <cdr:cNvPr id="3" name="TextBox 2"/>
        <cdr:cNvSpPr txBox="1"/>
      </cdr:nvSpPr>
      <cdr:spPr>
        <a:xfrm xmlns:a="http://schemas.openxmlformats.org/drawingml/2006/main">
          <a:off x="0" y="0"/>
          <a:ext cx="241300" cy="108585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ru-RU" sz="600" b="0" i="1" dirty="0">
              <a:latin typeface="Century" panose="02040604050505020304" pitchFamily="18" charset="0"/>
            </a:rPr>
            <a:t>рост </a:t>
          </a:r>
          <a:r>
            <a:rPr lang="ru-RU" sz="600" b="0" i="1" dirty="0" err="1">
              <a:latin typeface="Century" panose="02040604050505020304" pitchFamily="18" charset="0"/>
            </a:rPr>
            <a:t>подушевого</a:t>
          </a:r>
          <a:r>
            <a:rPr lang="ru-RU" sz="600" b="0" i="1" dirty="0">
              <a:latin typeface="Century" panose="02040604050505020304" pitchFamily="18" charset="0"/>
            </a:rPr>
            <a:t> ВВП,</a:t>
          </a:r>
          <a:r>
            <a:rPr lang="ru-RU" sz="600" b="0" i="1" baseline="0" dirty="0">
              <a:latin typeface="Century" panose="02040604050505020304" pitchFamily="18" charset="0"/>
            </a:rPr>
            <a:t> %</a:t>
          </a:r>
          <a:endParaRPr lang="ru-RU" sz="600" b="0" i="1" dirty="0">
            <a:latin typeface="Century" panose="02040604050505020304" pitchFamily="18" charset="0"/>
          </a:endParaRPr>
        </a:p>
      </cdr:txBody>
    </cdr:sp>
  </cdr:relSizeAnchor>
  <cdr:relSizeAnchor xmlns:cdr="http://schemas.openxmlformats.org/drawingml/2006/chartDrawing">
    <cdr:from>
      <cdr:x>0.67588</cdr:x>
      <cdr:y>0.84033</cdr:y>
    </cdr:from>
    <cdr:to>
      <cdr:x>1</cdr:x>
      <cdr:y>0.90643</cdr:y>
    </cdr:to>
    <cdr:sp macro="" textlink="">
      <cdr:nvSpPr>
        <cdr:cNvPr id="4" name="TextBox 1"/>
        <cdr:cNvSpPr txBox="1"/>
      </cdr:nvSpPr>
      <cdr:spPr>
        <a:xfrm xmlns:a="http://schemas.openxmlformats.org/drawingml/2006/main">
          <a:off x="2536468" y="2661110"/>
          <a:ext cx="1216382" cy="209309"/>
        </a:xfrm>
        <a:prstGeom xmlns:a="http://schemas.openxmlformats.org/drawingml/2006/main" prst="rect">
          <a:avLst/>
        </a:prstGeom>
      </cdr:spPr>
      <cdr:txBody>
        <a:bodyPr xmlns:a="http://schemas.openxmlformats.org/drawingml/2006/main" vert="horz"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600" b="0" i="1" dirty="0">
              <a:latin typeface="Century" panose="02040604050505020304" pitchFamily="18" charset="0"/>
            </a:rPr>
            <a:t>доля инвестиций в ВВП,</a:t>
          </a:r>
          <a:r>
            <a:rPr lang="ru-RU" sz="600" b="0" i="1" baseline="0" dirty="0">
              <a:latin typeface="Century" panose="02040604050505020304" pitchFamily="18" charset="0"/>
            </a:rPr>
            <a:t> %</a:t>
          </a:r>
          <a:endParaRPr lang="ru-RU" sz="600" b="0" i="1" dirty="0">
            <a:latin typeface="Century" panose="02040604050505020304" pitchFamily="18" charset="0"/>
          </a:endParaRPr>
        </a:p>
      </cdr:txBody>
    </cdr:sp>
  </cdr:relSizeAnchor>
  <cdr:relSizeAnchor xmlns:cdr="http://schemas.openxmlformats.org/drawingml/2006/chartDrawing">
    <cdr:from>
      <cdr:x>0.06838</cdr:x>
      <cdr:y>0.62008</cdr:y>
    </cdr:from>
    <cdr:to>
      <cdr:x>0.26723</cdr:x>
      <cdr:y>0.75253</cdr:y>
    </cdr:to>
    <cdr:sp macro="" textlink="">
      <cdr:nvSpPr>
        <cdr:cNvPr id="7" name="TextBox 6"/>
        <cdr:cNvSpPr txBox="1"/>
      </cdr:nvSpPr>
      <cdr:spPr>
        <a:xfrm xmlns:a="http://schemas.openxmlformats.org/drawingml/2006/main">
          <a:off x="189062" y="1446635"/>
          <a:ext cx="549774" cy="3090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600" b="1" dirty="0">
              <a:latin typeface="Century" panose="02040604050505020304" pitchFamily="18" charset="0"/>
            </a:rPr>
            <a:t>Россия сейчас</a:t>
          </a:r>
        </a:p>
      </cdr:txBody>
    </cdr:sp>
  </cdr:relSizeAnchor>
  <cdr:relSizeAnchor xmlns:cdr="http://schemas.openxmlformats.org/drawingml/2006/chartDrawing">
    <cdr:from>
      <cdr:x>0.22277</cdr:x>
      <cdr:y>0.76642</cdr:y>
    </cdr:from>
    <cdr:to>
      <cdr:x>0.24196</cdr:x>
      <cdr:y>0.78066</cdr:y>
    </cdr:to>
    <cdr:sp macro="" textlink="">
      <cdr:nvSpPr>
        <cdr:cNvPr id="9" name="Овал 8"/>
        <cdr:cNvSpPr/>
      </cdr:nvSpPr>
      <cdr:spPr>
        <a:xfrm xmlns:a="http://schemas.openxmlformats.org/drawingml/2006/main">
          <a:off x="838005" y="3452955"/>
          <a:ext cx="72189" cy="64169"/>
        </a:xfrm>
        <a:prstGeom xmlns:a="http://schemas.openxmlformats.org/drawingml/2006/main" prst="ellipse">
          <a:avLst/>
        </a:prstGeom>
        <a:solidFill xmlns:a="http://schemas.openxmlformats.org/drawingml/2006/main">
          <a:srgbClr val="FF3300"/>
        </a:solidFill>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0.19292</cdr:x>
      <cdr:y>0.6952</cdr:y>
    </cdr:from>
    <cdr:to>
      <cdr:x>0.22704</cdr:x>
      <cdr:y>0.76286</cdr:y>
    </cdr:to>
    <cdr:cxnSp macro="">
      <cdr:nvCxnSpPr>
        <cdr:cNvPr id="11" name="Прямая со стрелкой 10"/>
        <cdr:cNvCxnSpPr/>
      </cdr:nvCxnSpPr>
      <cdr:spPr>
        <a:xfrm xmlns:a="http://schemas.openxmlformats.org/drawingml/2006/main">
          <a:off x="725710" y="3132113"/>
          <a:ext cx="128337" cy="304800"/>
        </a:xfrm>
        <a:prstGeom xmlns:a="http://schemas.openxmlformats.org/drawingml/2006/main" prst="straightConnector1">
          <a:avLst/>
        </a:prstGeom>
        <a:ln xmlns:a="http://schemas.openxmlformats.org/drawingml/2006/main" w="1270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C6FF-C078-4A52-9DEC-05F55120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18502</Words>
  <Characters>105466</Characters>
  <Application>Microsoft Office Word</Application>
  <DocSecurity>0</DocSecurity>
  <Lines>878</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ОСНОВНЫЕ НАПРАВЛЕНИЯ БЮДЖЕТНОЙ, НАЛОГОВОЙ И ТАМОЖЕННО-ТАРИФНОЙ ПОЛИТИКИ НА 2018 ГОД И НА ПЛАНОВЫЙ ПЕРИОД 2019 И 2020 ГОДОВ</vt:lpstr>
      <vt:lpstr>ОСНОВНЫЕ НАПРАВЛЕНИЯ БЮДЖЕТНОЙ, НАЛОГОВОЙ И ТАМОЖЕННО-ТАРИФНОЙ ПОЛИТИКИ НА 2018 ГОД И НА ПЛАНОВЫЙ ПЕРИОД 2019 И 2020 ГОДОВ</vt:lpstr>
    </vt:vector>
  </TitlesOfParts>
  <Company>Hewlett-Packard Company</Company>
  <LinksUpToDate>false</LinksUpToDate>
  <CharactersWithSpaces>123721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 БЮДЖЕТНОЙ, НАЛОГОВОЙ И ТАМОЖЕННО-ТАРИФНОЙ ПОЛИТИКИ НА 2018 ГОД И НА ПЛАНОВЫЙ ПЕРИОД 2019 И 2020 ГОДОВ</dc:title>
  <dc:creator>Домбровский Е.А.</dc:creator>
  <cp:lastModifiedBy>Бурлова Лариса</cp:lastModifiedBy>
  <cp:revision>2</cp:revision>
  <cp:lastPrinted>2018-07-06T10:57:00Z</cp:lastPrinted>
  <dcterms:created xsi:type="dcterms:W3CDTF">2018-07-11T14:25:00Z</dcterms:created>
  <dcterms:modified xsi:type="dcterms:W3CDTF">2018-07-11T14:25:00Z</dcterms:modified>
</cp:coreProperties>
</file>